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r45"/>
    <w:bookmarkEnd w:id="0"/>
    <w:p w:rsidR="000D5211" w:rsidRPr="006B3D48" w:rsidRDefault="005D6422" w:rsidP="006B3D48">
      <w:pPr>
        <w:jc w:val="right"/>
        <w:rPr>
          <w:color w:val="595959"/>
          <w:sz w:val="40"/>
          <w:szCs w:val="40"/>
        </w:rPr>
      </w:pPr>
      <w:r w:rsidRPr="006B3D48">
        <w:rPr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5C50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6B3D48" w:rsidRPr="006B3D48">
        <w:rPr>
          <w:color w:val="595959"/>
          <w:sz w:val="40"/>
          <w:szCs w:val="40"/>
        </w:rPr>
        <w:t>ПРОЕКТ</w:t>
      </w:r>
      <w:r w:rsidR="000D5211" w:rsidRPr="006B3D48">
        <w:rPr>
          <w:color w:val="595959"/>
          <w:sz w:val="40"/>
          <w:szCs w:val="40"/>
        </w:rPr>
        <w:t xml:space="preserve"> </w: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0D5211" w:rsidRPr="00466053" w:rsidRDefault="000D5211" w:rsidP="000D5211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B50D3A" w:rsidRDefault="002A15AD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ЗВЕЗДНИНСКОГО</w:t>
      </w:r>
    </w:p>
    <w:p w:rsidR="00380727" w:rsidRDefault="002A15AD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</w:t>
      </w:r>
      <w:r w:rsidR="000731CD">
        <w:rPr>
          <w:b/>
          <w:sz w:val="44"/>
          <w:szCs w:val="44"/>
        </w:rPr>
        <w:t>КОГО ПОСЕЛЕНИЯ</w:t>
      </w:r>
      <w:r w:rsidR="00380727">
        <w:rPr>
          <w:b/>
          <w:sz w:val="44"/>
          <w:szCs w:val="44"/>
        </w:rPr>
        <w:t xml:space="preserve"> </w:t>
      </w:r>
    </w:p>
    <w:p w:rsidR="00466053" w:rsidRDefault="000731CD" w:rsidP="000D5211">
      <w:pPr>
        <w:ind w:left="-426" w:right="-425"/>
        <w:contextualSpacing/>
        <w:jc w:val="center"/>
        <w:rPr>
          <w:sz w:val="44"/>
          <w:szCs w:val="52"/>
        </w:rPr>
      </w:pPr>
      <w:r w:rsidRPr="000731CD">
        <w:rPr>
          <w:sz w:val="44"/>
          <w:szCs w:val="52"/>
        </w:rPr>
        <w:t>Усть-Кутского</w:t>
      </w:r>
      <w:r>
        <w:rPr>
          <w:sz w:val="44"/>
          <w:szCs w:val="52"/>
        </w:rPr>
        <w:t xml:space="preserve"> района</w:t>
      </w:r>
      <w:r w:rsidR="000D5211" w:rsidRPr="00466053">
        <w:rPr>
          <w:sz w:val="44"/>
          <w:szCs w:val="52"/>
        </w:rPr>
        <w:t xml:space="preserve"> </w:t>
      </w:r>
    </w:p>
    <w:p w:rsidR="000D5211" w:rsidRPr="00466053" w:rsidRDefault="00B50D3A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Иркутской</w:t>
      </w:r>
      <w:r w:rsidR="0052049D">
        <w:rPr>
          <w:sz w:val="44"/>
          <w:szCs w:val="52"/>
        </w:rPr>
        <w:t xml:space="preserve"> области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6B3D48" w:rsidRDefault="006B3D48" w:rsidP="000D5211">
      <w:bookmarkStart w:id="1" w:name="_GoBack"/>
      <w:bookmarkEnd w:id="1"/>
    </w:p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114594">
        <w:t>20</w:t>
      </w: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E64187">
        <w:trPr>
          <w:trHeight w:val="447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D374AD" w:rsidP="00D374AD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0D5211" w:rsidRPr="00E64187" w:rsidTr="00E64187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AD018F" w:rsidRPr="00E64187" w:rsidRDefault="000D5211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2A15AD">
              <w:rPr>
                <w:spacing w:val="-6"/>
                <w:sz w:val="22"/>
                <w:lang w:eastAsia="en-US"/>
              </w:rPr>
              <w:t>Звезднинского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2A15AD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  <w:r w:rsidR="00B50D3A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  <w:p w:rsidR="000D5211" w:rsidRPr="00E64187" w:rsidRDefault="000D5211" w:rsidP="008F7FF6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spacing w:line="276" w:lineRule="auto"/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3853D0" w:rsidRPr="003853D0">
              <w:rPr>
                <w:spacing w:val="-6"/>
                <w:sz w:val="22"/>
                <w:lang w:eastAsia="en-US"/>
              </w:rPr>
              <w:t>Звезднинского 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обслуживания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AD018F" w:rsidRPr="00E64187" w:rsidTr="00F67CD7">
        <w:trPr>
          <w:trHeight w:val="914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F67CD7" w:rsidRPr="00E64187" w:rsidTr="00E64187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F67CD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>
              <w:rPr>
                <w:sz w:val="22"/>
              </w:rPr>
              <w:t>образования</w:t>
            </w:r>
            <w:r w:rsidRPr="00F67CD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Звезднинского городского</w:t>
            </w:r>
            <w:r>
              <w:rPr>
                <w:sz w:val="22"/>
              </w:rPr>
              <w:t xml:space="preserve"> поселения Усть-Кутского муници</w:t>
            </w:r>
            <w:r w:rsidRPr="00F67CD7">
              <w:rPr>
                <w:sz w:val="22"/>
              </w:rPr>
              <w:t>пального района</w:t>
            </w:r>
          </w:p>
        </w:tc>
        <w:tc>
          <w:tcPr>
            <w:tcW w:w="532" w:type="dxa"/>
            <w:vAlign w:val="center"/>
          </w:tcPr>
          <w:p w:rsidR="00F67CD7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F67CD7" w:rsidRPr="00E64187" w:rsidTr="00E64187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F67CD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>
              <w:rPr>
                <w:sz w:val="22"/>
              </w:rPr>
              <w:t>жилищного строительства</w:t>
            </w:r>
            <w:r w:rsidRPr="00F67CD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Звезднинского городского</w:t>
            </w:r>
            <w:r>
              <w:rPr>
                <w:sz w:val="22"/>
              </w:rPr>
              <w:t xml:space="preserve"> поселения Усть-Кутского муници</w:t>
            </w:r>
            <w:r w:rsidRPr="00F67CD7">
              <w:rPr>
                <w:sz w:val="22"/>
              </w:rPr>
              <w:t>пального района</w:t>
            </w:r>
          </w:p>
        </w:tc>
        <w:tc>
          <w:tcPr>
            <w:tcW w:w="532" w:type="dxa"/>
            <w:vAlign w:val="center"/>
          </w:tcPr>
          <w:p w:rsidR="00F67CD7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7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F67CD7" w:rsidRPr="00F67CD7">
              <w:rPr>
                <w:sz w:val="22"/>
              </w:rPr>
              <w:t>организации массового отдыха населения, благоустройства, озеленения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8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3A7F07" w:rsidRPr="00E64187" w:rsidTr="00E64187">
        <w:trPr>
          <w:trHeight w:val="447"/>
        </w:trPr>
        <w:tc>
          <w:tcPr>
            <w:tcW w:w="9353" w:type="dxa"/>
          </w:tcPr>
          <w:p w:rsidR="003A7F07" w:rsidRPr="00E64187" w:rsidRDefault="003A7F0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9</w:t>
            </w:r>
            <w:r w:rsidRPr="00E6418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 w:rsidR="00F67CD7" w:rsidRPr="00F67CD7">
              <w:rPr>
                <w:sz w:val="22"/>
              </w:rPr>
              <w:t>организации защиты населения и территории городского поселения от чрезвычайных ситуаций природного и техногенного характера</w:t>
            </w:r>
            <w:r w:rsidR="000F2886" w:rsidRPr="00E64187">
              <w:rPr>
                <w:sz w:val="22"/>
              </w:rPr>
              <w:t xml:space="preserve"> </w:t>
            </w:r>
            <w:r w:rsidR="00265B2A" w:rsidRPr="00E64187">
              <w:rPr>
                <w:sz w:val="22"/>
              </w:rPr>
              <w:t>и показатели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3A7F07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</w:tr>
      <w:tr w:rsidR="000D5211" w:rsidRPr="00E64187" w:rsidTr="00E64187">
        <w:trPr>
          <w:trHeight w:val="315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  <w:r w:rsidR="00E11BBE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0D5211" w:rsidRPr="00E64187" w:rsidTr="00E64187">
        <w:trPr>
          <w:trHeight w:val="315"/>
        </w:trPr>
        <w:tc>
          <w:tcPr>
            <w:tcW w:w="9353" w:type="dxa"/>
          </w:tcPr>
          <w:p w:rsidR="00E64187" w:rsidRPr="00E64187" w:rsidRDefault="00C83588" w:rsidP="003E71DF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  <w:r w:rsidR="00E62587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:rsidR="00AD018F" w:rsidRPr="000C29A6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E64187" w:rsidRPr="00E64187">
        <w:rPr>
          <w:spacing w:val="-6"/>
          <w:lang w:eastAsia="en-US"/>
        </w:rPr>
        <w:t xml:space="preserve"> поселения Усть-Кутского муниципального района</w:t>
      </w:r>
      <w:r w:rsidR="00E62587" w:rsidRPr="00E62587">
        <w:rPr>
          <w:spacing w:val="-6"/>
          <w:lang w:eastAsia="en-US"/>
        </w:rPr>
        <w:t xml:space="preserve"> Иркутской области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договора </w:t>
      </w:r>
      <w:r w:rsidR="0061384A" w:rsidRPr="0061384A">
        <w:t>№15-07/02-03</w:t>
      </w:r>
      <w:r w:rsidR="00265B2A">
        <w:t xml:space="preserve"> от </w:t>
      </w:r>
      <w:r w:rsidR="0061384A">
        <w:t>17</w:t>
      </w:r>
      <w:r w:rsidR="00265B2A">
        <w:t>.</w:t>
      </w:r>
      <w:r w:rsidR="00E64187">
        <w:t>0</w:t>
      </w:r>
      <w:r w:rsidR="0061384A">
        <w:t>3</w:t>
      </w:r>
      <w:r w:rsidR="00265B2A">
        <w:t>.20</w:t>
      </w:r>
      <w:r w:rsidR="00E64187">
        <w:t>20</w:t>
      </w:r>
      <w:r w:rsidR="00265B2A">
        <w:t xml:space="preserve"> г.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103F" w:rsidRPr="005E103F">
        <w:rPr>
          <w:spacing w:val="-6"/>
          <w:lang w:eastAsia="en-US"/>
        </w:rPr>
        <w:t xml:space="preserve"> поселения Усть-Кутского муниципального района </w:t>
      </w:r>
      <w:r w:rsidR="00265B2A" w:rsidRPr="00E11BBE">
        <w:rPr>
          <w:spacing w:val="-6"/>
          <w:lang w:eastAsia="en-US"/>
        </w:rPr>
        <w:t>Иркутской области</w:t>
      </w:r>
      <w:r w:rsidR="000954CA" w:rsidRPr="000954CA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103F" w:rsidRPr="005E103F">
        <w:rPr>
          <w:spacing w:val="-6"/>
          <w:lang w:eastAsia="en-US"/>
        </w:rPr>
        <w:t xml:space="preserve"> поселения Усть-Кутского муниципального района</w:t>
      </w:r>
      <w:r w:rsidR="00265B2A" w:rsidRPr="00E11BBE">
        <w:rPr>
          <w:spacing w:val="-6"/>
          <w:lang w:eastAsia="en-US"/>
        </w:rPr>
        <w:t xml:space="preserve"> Иркутской области</w:t>
      </w:r>
      <w:r>
        <w:t>.</w:t>
      </w:r>
      <w:r w:rsidR="00642D8A">
        <w:t xml:space="preserve">  </w:t>
      </w:r>
      <w:r w:rsidR="0089291A">
        <w:t xml:space="preserve"> </w:t>
      </w:r>
      <w:r w:rsidR="00265B2A">
        <w:t xml:space="preserve"> 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1) преобразования пространственной организации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4458" w:rsidRPr="005E4458">
        <w:rPr>
          <w:spacing w:val="-6"/>
          <w:lang w:eastAsia="en-US"/>
        </w:rPr>
        <w:t xml:space="preserve"> поселения Усть-Кутского муниципального района</w:t>
      </w:r>
      <w:r w:rsidR="00265B2A" w:rsidRPr="00265B2A">
        <w:rPr>
          <w:spacing w:val="-6"/>
          <w:lang w:eastAsia="en-US"/>
        </w:rPr>
        <w:t xml:space="preserve"> Иркутской области</w:t>
      </w:r>
      <w:r>
        <w:t xml:space="preserve">, обеспечивающего современные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 xml:space="preserve">в области </w:t>
      </w:r>
      <w:r w:rsidR="00FD3AAB">
        <w:t xml:space="preserve">культуры и искусства; </w:t>
      </w:r>
      <w:r>
        <w:t>физичес</w:t>
      </w:r>
      <w:r w:rsidR="00766C68">
        <w:t>кой культуры и массового спорта;</w:t>
      </w:r>
      <w:r>
        <w:t xml:space="preserve"> </w:t>
      </w:r>
      <w:r w:rsidR="00FD3AAB">
        <w:t xml:space="preserve">в области  образования; в области жилищного строительства; </w:t>
      </w:r>
      <w:r w:rsidR="00FD3AAB" w:rsidRPr="00FD3AAB">
        <w:t>в области организации массового отдыха населения, благоустройства, озеленения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FD3AAB">
        <w:t>организации защиты населения от ЧС</w:t>
      </w:r>
      <w:r w:rsidR="00265B2A"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4458" w:rsidRPr="005E4458">
        <w:rPr>
          <w:spacing w:val="-6"/>
          <w:lang w:eastAsia="en-US"/>
        </w:rPr>
        <w:t xml:space="preserve"> поселения Усть-Кутского муниципального района</w:t>
      </w:r>
      <w:r w:rsidR="00CD3551" w:rsidRPr="00265B2A">
        <w:rPr>
          <w:spacing w:val="-6"/>
          <w:lang w:eastAsia="en-US"/>
        </w:rPr>
        <w:t xml:space="preserve"> Иркутской области</w:t>
      </w:r>
      <w:r>
        <w:t xml:space="preserve"> под размещение объектов, обеспечивающих благоприятные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 xml:space="preserve">для </w:t>
      </w:r>
      <w:r w:rsidR="00FD3AAB">
        <w:t>городского</w:t>
      </w:r>
      <w:r>
        <w:t xml:space="preserve"> поселения.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Усть-Кутского муниципального района</w:t>
      </w:r>
      <w:r w:rsidR="00CD3551" w:rsidRPr="00CD3551">
        <w:rPr>
          <w:spacing w:val="-6"/>
          <w:lang w:eastAsia="en-US"/>
        </w:rPr>
        <w:t xml:space="preserve"> Иркутской области</w:t>
      </w:r>
      <w:r>
        <w:t xml:space="preserve"> 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1B2E6C">
        <w:t xml:space="preserve">Законом «О </w:t>
      </w:r>
      <w:r w:rsidR="00944346">
        <w:t xml:space="preserve">регулировании </w:t>
      </w:r>
      <w:r w:rsidR="001B2E6C">
        <w:t>г</w:t>
      </w:r>
      <w:r>
        <w:t>радостроительн</w:t>
      </w:r>
      <w:r w:rsidR="001B2E6C">
        <w:t>ой</w:t>
      </w:r>
      <w:r>
        <w:t xml:space="preserve"> </w:t>
      </w:r>
      <w:r w:rsidR="001B2E6C">
        <w:t>деятельности в</w:t>
      </w:r>
      <w:r w:rsidR="00944346">
        <w:t xml:space="preserve"> </w:t>
      </w:r>
      <w:r w:rsidR="00CD3551">
        <w:t>Иркутской</w:t>
      </w:r>
      <w:r w:rsidR="00944346">
        <w:t xml:space="preserve"> области</w:t>
      </w:r>
      <w:r w:rsidR="001B2E6C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Усть-Кутского муниципального района</w:t>
      </w:r>
      <w:r w:rsidR="00CD3551" w:rsidRPr="00CD3551">
        <w:t xml:space="preserve"> Иркутской области</w:t>
      </w:r>
      <w:r w:rsidR="00CD3551">
        <w:t xml:space="preserve">, с учетом Закона </w:t>
      </w:r>
      <w:r w:rsidR="00CD3551" w:rsidRPr="00CD3551">
        <w:t>«О закреплении за сельскими поселениями Иркутской области вопросов местного значения»</w:t>
      </w:r>
      <w:r w:rsidR="00CD3551"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C40D3E">
        <w:t>Иркутской</w:t>
      </w:r>
      <w:r w:rsidR="0019044F">
        <w:t xml:space="preserve"> области</w:t>
      </w:r>
      <w:r>
        <w:t xml:space="preserve"> и местному законодательству и сгруппированы по областям полномочий органов местного самоуправления  и применения местных нормативов </w:t>
      </w:r>
      <w:r>
        <w:lastRenderedPageBreak/>
        <w:t xml:space="preserve">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:rsidR="005C52DD" w:rsidRDefault="005C52DD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E547E" w:rsidRDefault="003E547E">
      <w:pPr>
        <w:spacing w:after="200" w:line="276" w:lineRule="auto"/>
        <w:rPr>
          <w:highlight w:val="yellow"/>
          <w:lang w:bidi="ru-RU"/>
        </w:rPr>
      </w:pPr>
      <w:r>
        <w:rPr>
          <w:highlight w:val="yellow"/>
          <w:lang w:bidi="ru-RU"/>
        </w:rPr>
        <w:br w:type="page"/>
      </w:r>
    </w:p>
    <w:p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 w:rsidR="003853D0" w:rsidRPr="003853D0">
        <w:rPr>
          <w:rFonts w:eastAsia="Calibri"/>
          <w:b/>
          <w:sz w:val="28"/>
          <w:szCs w:val="28"/>
          <w:lang w:eastAsia="en-US"/>
        </w:rPr>
        <w:t>Звезднинского городского</w:t>
      </w:r>
      <w:r w:rsidR="00FA5784" w:rsidRPr="00FA5784">
        <w:rPr>
          <w:rFonts w:eastAsia="Calibri"/>
          <w:b/>
          <w:sz w:val="28"/>
          <w:szCs w:val="28"/>
          <w:lang w:eastAsia="en-US"/>
        </w:rPr>
        <w:t xml:space="preserve"> поселения Усть</w:t>
      </w:r>
      <w:r w:rsidR="0076521D">
        <w:rPr>
          <w:rFonts w:eastAsia="Calibri"/>
          <w:b/>
          <w:sz w:val="28"/>
          <w:szCs w:val="28"/>
          <w:lang w:eastAsia="en-US"/>
        </w:rPr>
        <w:t>-Кутского муниципального района</w:t>
      </w:r>
      <w:r w:rsidR="00EA7B48" w:rsidRPr="00EA7B48">
        <w:rPr>
          <w:rFonts w:eastAsia="Calibri"/>
          <w:b/>
          <w:sz w:val="28"/>
          <w:szCs w:val="28"/>
          <w:lang w:eastAsia="en-US"/>
        </w:rPr>
        <w:t xml:space="preserve"> Иркутской области</w:t>
      </w:r>
    </w:p>
    <w:p w:rsidR="00BB7BE3" w:rsidRDefault="00BB7BE3" w:rsidP="00BB7BE3">
      <w:pPr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Усть-Кутского муниципального района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BB7BE3" w:rsidTr="001132CA"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1132CA">
        <w:tc>
          <w:tcPr>
            <w:tcW w:w="9356" w:type="dxa"/>
            <w:gridSpan w:val="3"/>
            <w:shd w:val="clear" w:color="auto" w:fill="auto"/>
            <w:hideMark/>
          </w:tcPr>
          <w:p w:rsidR="00257715" w:rsidRDefault="0025771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объектами местного значения 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3853D0" w:rsidRPr="003853D0">
              <w:rPr>
                <w:rFonts w:eastAsia="Calibri"/>
                <w:b/>
                <w:szCs w:val="28"/>
                <w:lang w:eastAsia="en-US"/>
              </w:rPr>
              <w:t>Звезднинского городского</w:t>
            </w:r>
            <w:r w:rsidR="00FA5784" w:rsidRPr="00FA5784">
              <w:rPr>
                <w:rFonts w:eastAsia="Calibri"/>
                <w:b/>
                <w:szCs w:val="28"/>
                <w:lang w:eastAsia="en-US"/>
              </w:rPr>
              <w:t xml:space="preserve"> поселения Усть-Кутского муниципального района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Иркутской области</w:t>
            </w:r>
          </w:p>
        </w:tc>
      </w:tr>
      <w:tr w:rsidR="00BB7BE3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7B720F" w:rsidRPr="004F607F" w:rsidRDefault="007B720F" w:rsidP="00953086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>, а также</w:t>
      </w:r>
      <w:r w:rsidR="004F607F">
        <w:rPr>
          <w:rFonts w:eastAsia="TimesNewRomanPSMT"/>
        </w:rPr>
        <w:t xml:space="preserve"> с учетом </w:t>
      </w:r>
      <w:r w:rsidR="00953086" w:rsidRPr="00953086">
        <w:rPr>
          <w:rFonts w:eastAsia="TimesNewRomanPSMT"/>
        </w:rPr>
        <w:t>муниципальн</w:t>
      </w:r>
      <w:r w:rsidR="00953086">
        <w:rPr>
          <w:rFonts w:eastAsia="TimesNewRomanPSMT"/>
        </w:rPr>
        <w:t xml:space="preserve">ой </w:t>
      </w:r>
      <w:r w:rsidR="00953086" w:rsidRPr="00953086">
        <w:rPr>
          <w:rFonts w:eastAsia="TimesNewRomanPSMT"/>
        </w:rPr>
        <w:t>программ</w:t>
      </w:r>
      <w:r w:rsidR="00953086">
        <w:rPr>
          <w:rFonts w:eastAsia="TimesNewRomanPSMT"/>
        </w:rPr>
        <w:t>ы</w:t>
      </w:r>
      <w:r w:rsidR="00953086" w:rsidRPr="00953086">
        <w:rPr>
          <w:rFonts w:eastAsia="TimesNewRomanPSMT"/>
        </w:rPr>
        <w:t xml:space="preserve"> </w:t>
      </w:r>
      <w:r w:rsidR="00953086" w:rsidRPr="001701B4">
        <w:rPr>
          <w:rFonts w:eastAsia="TimesNewRomanPSMT"/>
        </w:rPr>
        <w:t xml:space="preserve">«Комплексного развития систем коммунальной инфраструктуры </w:t>
      </w:r>
      <w:r w:rsidR="001701B4" w:rsidRPr="001701B4">
        <w:rPr>
          <w:rFonts w:eastAsia="TimesNewRomanPSMT"/>
        </w:rPr>
        <w:t>Звезднинского</w:t>
      </w:r>
      <w:r w:rsidR="00953086" w:rsidRPr="001701B4">
        <w:rPr>
          <w:rFonts w:eastAsia="TimesNewRomanPSMT"/>
        </w:rPr>
        <w:t xml:space="preserve"> муниципального образования </w:t>
      </w:r>
      <w:r w:rsidR="001701B4" w:rsidRPr="001701B4">
        <w:rPr>
          <w:rFonts w:eastAsia="TimesNewRomanPSMT"/>
        </w:rPr>
        <w:t xml:space="preserve">(городского поселения) </w:t>
      </w:r>
      <w:r w:rsidR="00953086" w:rsidRPr="001701B4">
        <w:rPr>
          <w:rFonts w:eastAsia="TimesNewRomanPSMT"/>
        </w:rPr>
        <w:t xml:space="preserve">на </w:t>
      </w:r>
      <w:r w:rsidR="00DF3C83" w:rsidRPr="001701B4">
        <w:rPr>
          <w:rFonts w:eastAsia="TimesNewRomanPSMT"/>
        </w:rPr>
        <w:t>20</w:t>
      </w:r>
      <w:r w:rsidR="001701B4" w:rsidRPr="001701B4">
        <w:rPr>
          <w:rFonts w:eastAsia="TimesNewRomanPSMT"/>
        </w:rPr>
        <w:t>18-2023</w:t>
      </w:r>
      <w:r w:rsidR="00DF3C83" w:rsidRPr="001701B4">
        <w:rPr>
          <w:rFonts w:eastAsia="TimesNewRomanPSMT"/>
        </w:rPr>
        <w:t xml:space="preserve"> года</w:t>
      </w:r>
      <w:r w:rsidR="00953086" w:rsidRPr="001701B4">
        <w:rPr>
          <w:rFonts w:eastAsia="TimesNewRomanPSMT"/>
        </w:rPr>
        <w:t>»</w:t>
      </w:r>
      <w:r w:rsidR="004F607F" w:rsidRPr="001701B4">
        <w:rPr>
          <w:rFonts w:eastAsia="TimesNewRomanPSMT"/>
        </w:rPr>
        <w:t xml:space="preserve">, утвержденной решением Думы </w:t>
      </w:r>
      <w:r w:rsidR="001701B4" w:rsidRPr="001701B4">
        <w:rPr>
          <w:rFonts w:eastAsia="TimesNewRomanPSMT"/>
        </w:rPr>
        <w:t>Звезднинского</w:t>
      </w:r>
      <w:r w:rsidR="001701B4">
        <w:rPr>
          <w:rFonts w:eastAsia="TimesNewRomanPSMT"/>
        </w:rPr>
        <w:t xml:space="preserve"> городского</w:t>
      </w:r>
      <w:r w:rsidR="00953086" w:rsidRPr="001701B4">
        <w:rPr>
          <w:rFonts w:eastAsia="TimesNewRomanPSMT"/>
        </w:rPr>
        <w:t xml:space="preserve"> поселения</w:t>
      </w:r>
      <w:r w:rsidR="004F607F" w:rsidRPr="001701B4">
        <w:rPr>
          <w:rFonts w:eastAsia="TimesNewRomanPSMT"/>
        </w:rPr>
        <w:t xml:space="preserve"> от </w:t>
      </w:r>
      <w:r w:rsidR="00953086" w:rsidRPr="001701B4">
        <w:rPr>
          <w:rFonts w:eastAsia="TimesNewRomanPSMT"/>
        </w:rPr>
        <w:t>2</w:t>
      </w:r>
      <w:r w:rsidR="001701B4" w:rsidRPr="001701B4">
        <w:rPr>
          <w:rFonts w:eastAsia="TimesNewRomanPSMT"/>
        </w:rPr>
        <w:t>9</w:t>
      </w:r>
      <w:r w:rsidR="004F607F" w:rsidRPr="001701B4">
        <w:rPr>
          <w:rFonts w:eastAsia="TimesNewRomanPSMT"/>
        </w:rPr>
        <w:t xml:space="preserve"> </w:t>
      </w:r>
      <w:r w:rsidR="001701B4" w:rsidRPr="001701B4">
        <w:rPr>
          <w:rFonts w:eastAsia="TimesNewRomanPSMT"/>
        </w:rPr>
        <w:t>ноября</w:t>
      </w:r>
      <w:r w:rsidR="004F607F" w:rsidRPr="001701B4">
        <w:rPr>
          <w:rFonts w:eastAsia="TimesNewRomanPSMT"/>
        </w:rPr>
        <w:t xml:space="preserve"> 201</w:t>
      </w:r>
      <w:r w:rsidR="001701B4" w:rsidRPr="001701B4">
        <w:rPr>
          <w:rFonts w:eastAsia="TimesNewRomanPSMT"/>
        </w:rPr>
        <w:t>8</w:t>
      </w:r>
      <w:r w:rsidR="004F607F" w:rsidRPr="001701B4">
        <w:rPr>
          <w:rFonts w:eastAsia="TimesNewRomanPSMT"/>
        </w:rPr>
        <w:t xml:space="preserve"> </w:t>
      </w:r>
      <w:r w:rsidR="00C73A6B" w:rsidRPr="001701B4">
        <w:rPr>
          <w:rFonts w:eastAsia="TimesNewRomanPSMT"/>
        </w:rPr>
        <w:t>года №</w:t>
      </w:r>
      <w:r w:rsidR="001701B4" w:rsidRPr="001701B4">
        <w:rPr>
          <w:rFonts w:eastAsia="TimesNewRomanPSMT"/>
        </w:rPr>
        <w:t>28</w:t>
      </w:r>
      <w:r w:rsidR="001701B4">
        <w:rPr>
          <w:rFonts w:eastAsia="TimesNewRomanPSMT"/>
        </w:rPr>
        <w:t>.</w:t>
      </w:r>
      <w:r>
        <w:rPr>
          <w:rFonts w:eastAsia="TimesNewRomanPSMT"/>
        </w:rPr>
        <w:t xml:space="preserve"> Расчетные показатели минимально допустимого уровня обеспеченности объектами местного значения представ</w:t>
      </w:r>
      <w:r w:rsidR="00AB6507">
        <w:rPr>
          <w:rFonts w:eastAsia="TimesNewRomanPSMT"/>
        </w:rPr>
        <w:t>лены в таблиц</w:t>
      </w:r>
      <w:r w:rsidR="00DE7D54">
        <w:rPr>
          <w:rFonts w:eastAsia="TimesNewRomanPSMT"/>
        </w:rPr>
        <w:t>ах</w:t>
      </w:r>
      <w:r>
        <w:rPr>
          <w:rFonts w:eastAsia="TimesNewRomanPSMT"/>
        </w:rPr>
        <w:t xml:space="preserve"> </w:t>
      </w:r>
      <w:r w:rsidRPr="00F562A8">
        <w:rPr>
          <w:rFonts w:eastAsia="TimesNewRomanPSMT"/>
        </w:rPr>
        <w:t>1.1.1.</w:t>
      </w:r>
      <w:r w:rsidR="00DE7D54">
        <w:rPr>
          <w:rFonts w:eastAsia="TimesNewRomanPSMT"/>
        </w:rPr>
        <w:t>- 1.1.</w:t>
      </w:r>
      <w:r w:rsidR="00FA44B8">
        <w:rPr>
          <w:rFonts w:eastAsia="TimesNewRomanPSMT"/>
        </w:rPr>
        <w:t>4</w:t>
      </w:r>
      <w:r w:rsidR="000E54F8">
        <w:rPr>
          <w:rFonts w:eastAsia="TimesNewRomanPSMT"/>
        </w:rPr>
        <w:t>.</w:t>
      </w:r>
    </w:p>
    <w:p w:rsidR="00BB7BE3" w:rsidRDefault="00BB7BE3"/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C40646" w:rsidRPr="00C40646" w:rsidTr="00CD47B3">
        <w:trPr>
          <w:trHeight w:val="983"/>
          <w:tblHeader/>
        </w:trPr>
        <w:tc>
          <w:tcPr>
            <w:tcW w:w="1428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:rsidTr="00A95422">
        <w:trPr>
          <w:trHeight w:val="1152"/>
        </w:trPr>
        <w:tc>
          <w:tcPr>
            <w:tcW w:w="1428" w:type="pct"/>
            <w:vMerge w:val="restart"/>
            <w:vAlign w:val="center"/>
          </w:tcPr>
          <w:p w:rsidR="00A95422" w:rsidRPr="00C40646" w:rsidRDefault="00A95422" w:rsidP="00A95422">
            <w:r w:rsidRPr="00C40646">
              <w:rPr>
                <w:sz w:val="22"/>
                <w:szCs w:val="22"/>
              </w:rPr>
              <w:t xml:space="preserve">Система электроснабжения населенных пунктов, </w:t>
            </w:r>
            <w:r>
              <w:rPr>
                <w:sz w:val="22"/>
                <w:szCs w:val="22"/>
              </w:rPr>
              <w:t xml:space="preserve">входящих в состав </w:t>
            </w:r>
            <w:r w:rsidR="00FD3AAB" w:rsidRPr="00FD3AAB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pct"/>
            <w:vAlign w:val="center"/>
          </w:tcPr>
          <w:p w:rsidR="00A95422" w:rsidRPr="00C40646" w:rsidRDefault="00A95422" w:rsidP="00C40646">
            <w:r>
              <w:rPr>
                <w:sz w:val="22"/>
                <w:szCs w:val="22"/>
              </w:rPr>
              <w:t>Электропотребление</w:t>
            </w:r>
          </w:p>
          <w:p w:rsidR="00A95422" w:rsidRPr="00C40646" w:rsidRDefault="00A95422" w:rsidP="00C40646"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C40646" w:rsidRDefault="00A95422" w:rsidP="00DD6AE3">
            <w:pPr>
              <w:jc w:val="center"/>
            </w:pPr>
            <w:r>
              <w:t>1350</w:t>
            </w:r>
          </w:p>
        </w:tc>
      </w:tr>
      <w:tr w:rsidR="00A95422" w:rsidRPr="00C40646" w:rsidTr="00A95422">
        <w:trPr>
          <w:trHeight w:val="620"/>
        </w:trPr>
        <w:tc>
          <w:tcPr>
            <w:tcW w:w="1428" w:type="pct"/>
            <w:vMerge/>
            <w:vAlign w:val="center"/>
          </w:tcPr>
          <w:p w:rsidR="00A95422" w:rsidRPr="00C40646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использование максимума электрической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  <w:p w:rsidR="00A95422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:rsidR="00A95422" w:rsidRDefault="00A95422" w:rsidP="00A95422"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C3E96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DE7D54" w:rsidRDefault="00DE7D54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</w:t>
      </w:r>
      <w:r w:rsidR="00176524" w:rsidRPr="0059556B">
        <w:rPr>
          <w:color w:val="000000" w:themeColor="text1"/>
        </w:rPr>
        <w:t>94</w:t>
      </w:r>
      <w:r w:rsidR="00176524">
        <w:rPr>
          <w:color w:val="000000" w:themeColor="text1"/>
        </w:rPr>
        <w:t xml:space="preserve"> 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>ских электрических сетей.</w:t>
      </w:r>
      <w:r w:rsidR="00E701EB" w:rsidRPr="00E701EB">
        <w:rPr>
          <w:color w:val="000000" w:themeColor="text1"/>
        </w:rPr>
        <w:t>" (</w:t>
      </w:r>
      <w:r w:rsidR="00176524">
        <w:rPr>
          <w:color w:val="000000" w:themeColor="text1"/>
        </w:rPr>
        <w:t>у</w:t>
      </w:r>
      <w:r w:rsidR="00176524" w:rsidRPr="00E701EB">
        <w:rPr>
          <w:color w:val="000000" w:themeColor="text1"/>
        </w:rPr>
        <w:t>тв.</w:t>
      </w:r>
      <w:r w:rsidR="00E701EB" w:rsidRPr="00E701EB">
        <w:rPr>
          <w:color w:val="000000" w:themeColor="text1"/>
        </w:rPr>
        <w:t xml:space="preserve">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2C7D55" w:rsidRDefault="002C7D55" w:rsidP="00F562A8">
      <w:pPr>
        <w:widowControl w:val="0"/>
        <w:autoSpaceDE w:val="0"/>
        <w:autoSpaceDN w:val="0"/>
        <w:rPr>
          <w:b/>
        </w:rPr>
      </w:pPr>
    </w:p>
    <w:p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2542B5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7B25E0" w:rsidRPr="00C40646" w:rsidRDefault="007B25E0" w:rsidP="000E54F8"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Default="007B25E0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7B25E0" w:rsidRPr="00675559" w:rsidRDefault="007B25E0" w:rsidP="002542B5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C40646" w:rsidRDefault="007B25E0" w:rsidP="000E54F8">
            <w:pPr>
              <w:jc w:val="center"/>
            </w:pPr>
            <w:r>
              <w:t>170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0E54F8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0E54F8" w:rsidRPr="00C40646" w:rsidRDefault="000E54F8" w:rsidP="000E54F8"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:rsidR="000E54F8" w:rsidRDefault="000E54F8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0E54F8" w:rsidRPr="00675559" w:rsidRDefault="000E54F8" w:rsidP="000E54F8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C40646" w:rsidRDefault="000E54F8" w:rsidP="000E54F8">
            <w:pPr>
              <w:jc w:val="center"/>
            </w:pPr>
            <w:r>
              <w:t>170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FA44B8">
      <w:pPr>
        <w:pStyle w:val="ac"/>
        <w:numPr>
          <w:ilvl w:val="0"/>
          <w:numId w:val="8"/>
        </w:numPr>
        <w:spacing w:before="100" w:beforeAutospacing="1" w:line="23" w:lineRule="atLeast"/>
        <w:jc w:val="both"/>
        <w:rPr>
          <w:color w:val="000000" w:themeColor="text1"/>
        </w:rPr>
      </w:pPr>
      <w:r w:rsidRPr="00FA44B8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A44B8" w:rsidRDefault="00FA44B8" w:rsidP="00FA44B8">
      <w:pPr>
        <w:widowControl w:val="0"/>
        <w:autoSpaceDE w:val="0"/>
        <w:autoSpaceDN w:val="0"/>
        <w:jc w:val="right"/>
      </w:pPr>
    </w:p>
    <w:p w:rsidR="00FA44B8" w:rsidRPr="002542B5" w:rsidRDefault="00FA44B8" w:rsidP="00FA44B8">
      <w:pPr>
        <w:widowControl w:val="0"/>
        <w:autoSpaceDE w:val="0"/>
        <w:autoSpaceDN w:val="0"/>
        <w:jc w:val="right"/>
      </w:pPr>
      <w:r w:rsidRPr="002542B5">
        <w:t>Таблица 1.1.</w:t>
      </w:r>
      <w:r>
        <w:t>4</w:t>
      </w:r>
      <w:r w:rsidRPr="002542B5">
        <w:t xml:space="preserve">.  Расчетные показатели объектов, относящихся </w:t>
      </w:r>
    </w:p>
    <w:p w:rsidR="00FA44B8" w:rsidRDefault="00FA44B8" w:rsidP="00FA44B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теплоснабжения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FA44B8" w:rsidRPr="00C40646" w:rsidTr="00E87A79">
        <w:trPr>
          <w:trHeight w:val="983"/>
          <w:tblHeader/>
        </w:trPr>
        <w:tc>
          <w:tcPr>
            <w:tcW w:w="1428" w:type="pct"/>
            <w:vAlign w:val="center"/>
          </w:tcPr>
          <w:p w:rsidR="00FA44B8" w:rsidRPr="00C40646" w:rsidRDefault="00FA44B8" w:rsidP="00E87A7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FA44B8" w:rsidRPr="00C40646" w:rsidRDefault="00FA44B8" w:rsidP="00E87A79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FA44B8" w:rsidRPr="00C40646" w:rsidRDefault="00FA44B8" w:rsidP="00E87A79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FA44B8" w:rsidRPr="00C40646" w:rsidRDefault="00FA44B8" w:rsidP="00E87A7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FA44B8" w:rsidRPr="00C40646" w:rsidRDefault="00FA44B8" w:rsidP="00E87A7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FA44B8" w:rsidRPr="00C40646" w:rsidTr="00E87A79">
        <w:trPr>
          <w:trHeight w:val="543"/>
        </w:trPr>
        <w:tc>
          <w:tcPr>
            <w:tcW w:w="1428" w:type="pct"/>
            <w:vMerge w:val="restart"/>
            <w:vAlign w:val="center"/>
          </w:tcPr>
          <w:p w:rsidR="00FA44B8" w:rsidRPr="00C40646" w:rsidRDefault="00FA44B8" w:rsidP="00DE4BDB">
            <w:r w:rsidRPr="00C40646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теплоснабжения</w:t>
            </w:r>
            <w:r w:rsidRPr="00C40646">
              <w:rPr>
                <w:sz w:val="22"/>
                <w:szCs w:val="22"/>
              </w:rPr>
              <w:t xml:space="preserve"> населенных пунктов, </w:t>
            </w:r>
            <w:r>
              <w:rPr>
                <w:sz w:val="22"/>
                <w:szCs w:val="22"/>
              </w:rPr>
              <w:lastRenderedPageBreak/>
              <w:t>входящих в состав поселения</w:t>
            </w:r>
          </w:p>
        </w:tc>
        <w:tc>
          <w:tcPr>
            <w:tcW w:w="1418" w:type="pct"/>
            <w:vMerge w:val="restart"/>
            <w:vAlign w:val="center"/>
          </w:tcPr>
          <w:p w:rsidR="00FA44B8" w:rsidRPr="00675559" w:rsidRDefault="00FA44B8" w:rsidP="00F33329">
            <w:r w:rsidRPr="00675559">
              <w:rPr>
                <w:sz w:val="22"/>
                <w:szCs w:val="22"/>
              </w:rPr>
              <w:lastRenderedPageBreak/>
              <w:t xml:space="preserve">Удельные показатели максимальной тепловой нагрузки на отопление и </w:t>
            </w:r>
            <w:r w:rsidRPr="00675559">
              <w:rPr>
                <w:sz w:val="22"/>
                <w:szCs w:val="22"/>
              </w:rPr>
              <w:lastRenderedPageBreak/>
              <w:t>вентиляцию жилых домов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75559">
              <w:rPr>
                <w:sz w:val="22"/>
                <w:szCs w:val="22"/>
              </w:rPr>
              <w:t xml:space="preserve">Вт/м2  </w:t>
            </w:r>
            <w:r w:rsidRPr="00675559">
              <w:rPr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FA44B8" w:rsidRPr="00C40646" w:rsidRDefault="00F33329" w:rsidP="00F33329">
            <w:pPr>
              <w:jc w:val="center"/>
            </w:pPr>
            <w:r>
              <w:lastRenderedPageBreak/>
              <w:t>238</w:t>
            </w:r>
            <w:r w:rsidR="00FA44B8">
              <w:t xml:space="preserve"> - для </w:t>
            </w:r>
            <w:r w:rsidR="00FA44B8" w:rsidRPr="00675559">
              <w:t>1-3-этажны</w:t>
            </w:r>
            <w:r w:rsidR="00FA44B8">
              <w:t>х</w:t>
            </w:r>
            <w:r w:rsidR="00FA44B8" w:rsidRPr="00675559">
              <w:t xml:space="preserve"> одноквартирны</w:t>
            </w:r>
            <w:r w:rsidR="00FA44B8">
              <w:t>х отдельно</w:t>
            </w:r>
            <w:r w:rsidR="00FA44B8" w:rsidRPr="00675559">
              <w:t>стоящи</w:t>
            </w:r>
            <w:r w:rsidR="00FA44B8">
              <w:t>х жилых зданий</w:t>
            </w:r>
          </w:p>
        </w:tc>
      </w:tr>
      <w:tr w:rsidR="00FA44B8" w:rsidRPr="00C40646" w:rsidTr="00E87A79">
        <w:trPr>
          <w:trHeight w:val="649"/>
        </w:trPr>
        <w:tc>
          <w:tcPr>
            <w:tcW w:w="1428" w:type="pct"/>
            <w:vMerge/>
            <w:vAlign w:val="center"/>
          </w:tcPr>
          <w:p w:rsidR="00FA44B8" w:rsidRPr="00C40646" w:rsidRDefault="00FA44B8" w:rsidP="00E87A79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FA44B8" w:rsidRPr="00C40646" w:rsidRDefault="00FA44B8" w:rsidP="00E87A79"/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FA44B8" w:rsidRPr="00C40646" w:rsidRDefault="00F33329" w:rsidP="00E87A79">
            <w:pPr>
              <w:jc w:val="center"/>
            </w:pPr>
            <w:r>
              <w:t>172</w:t>
            </w:r>
            <w:r w:rsidR="00FA44B8">
              <w:t xml:space="preserve"> - </w:t>
            </w:r>
            <w:r w:rsidR="00FA44B8" w:rsidRPr="008C2E1A">
              <w:t xml:space="preserve">для </w:t>
            </w:r>
            <w:r w:rsidR="00FA44B8">
              <w:t>2</w:t>
            </w:r>
            <w:r w:rsidR="00FA44B8" w:rsidRPr="003243E9">
              <w:t xml:space="preserve">-3-этажных одноквартирных </w:t>
            </w:r>
            <w:r w:rsidR="00FA44B8">
              <w:t>блокированны</w:t>
            </w:r>
            <w:r w:rsidR="00FA44B8" w:rsidRPr="003243E9">
              <w:t>х жилых зданий</w:t>
            </w:r>
          </w:p>
        </w:tc>
      </w:tr>
      <w:tr w:rsidR="00FA44B8" w:rsidRPr="00C40646" w:rsidTr="00E87A79">
        <w:trPr>
          <w:trHeight w:val="429"/>
        </w:trPr>
        <w:tc>
          <w:tcPr>
            <w:tcW w:w="1428" w:type="pct"/>
            <w:vMerge/>
            <w:vAlign w:val="center"/>
          </w:tcPr>
          <w:p w:rsidR="00FA44B8" w:rsidRPr="00C40646" w:rsidRDefault="00FA44B8" w:rsidP="00E87A79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FA44B8" w:rsidRDefault="00FA44B8" w:rsidP="00E87A79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FA44B8" w:rsidRDefault="00F33329" w:rsidP="00E87A79">
            <w:pPr>
              <w:jc w:val="center"/>
            </w:pPr>
            <w:r>
              <w:t>108</w:t>
            </w:r>
            <w:r w:rsidR="00FA44B8">
              <w:t xml:space="preserve"> - </w:t>
            </w:r>
            <w:r w:rsidR="00FA44B8" w:rsidRPr="008C2E1A">
              <w:t xml:space="preserve">для </w:t>
            </w:r>
            <w:r w:rsidR="00FA44B8">
              <w:t>4-6</w:t>
            </w:r>
            <w:r w:rsidR="00FA44B8" w:rsidRPr="008C2E1A">
              <w:t xml:space="preserve">-этажных </w:t>
            </w:r>
            <w:r w:rsidR="00FA44B8">
              <w:t>жи</w:t>
            </w:r>
            <w:r w:rsidR="00FA44B8" w:rsidRPr="008C2E1A">
              <w:t>лых зданий</w:t>
            </w:r>
          </w:p>
        </w:tc>
      </w:tr>
    </w:tbl>
    <w:p w:rsidR="00FA44B8" w:rsidRDefault="00FA44B8" w:rsidP="00FA44B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FA44B8" w:rsidRPr="00952751" w:rsidRDefault="00FA44B8" w:rsidP="00FA44B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52751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52751">
        <w:rPr>
          <w:color w:val="000000" w:themeColor="text1"/>
        </w:rPr>
        <w:t xml:space="preserve">В соответствии с Приложением (В) СП </w:t>
      </w:r>
      <w:r>
        <w:t>124.13330.2012 «</w:t>
      </w:r>
      <w:r w:rsidRPr="00675559">
        <w:t>Тепловые сети. Актуализированная редакция СНиП 41-02-2003</w:t>
      </w:r>
      <w:r>
        <w:t>»</w:t>
      </w:r>
      <w:r w:rsidRPr="00952751">
        <w:rPr>
          <w:color w:val="000000" w:themeColor="text1"/>
        </w:rPr>
        <w:t>;</w:t>
      </w:r>
    </w:p>
    <w:p w:rsidR="00FA44B8" w:rsidRPr="00F33329" w:rsidRDefault="00FA44B8" w:rsidP="00F3332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52751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542B5" w:rsidRPr="00F33329" w:rsidRDefault="002542B5" w:rsidP="00F3332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DD65C2" w:rsidRPr="00D96E43" w:rsidRDefault="00DD65C2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8E0BEF" w:rsidTr="001132CA"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1132CA">
        <w:tc>
          <w:tcPr>
            <w:tcW w:w="9356" w:type="dxa"/>
            <w:gridSpan w:val="3"/>
            <w:shd w:val="clear" w:color="auto" w:fill="auto"/>
            <w:hideMark/>
          </w:tcPr>
          <w:p w:rsidR="001132CA" w:rsidRPr="001132CA" w:rsidRDefault="001132CA" w:rsidP="003C619F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обслуживания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3853D0" w:rsidRPr="003853D0">
              <w:rPr>
                <w:rFonts w:eastAsia="Calibri"/>
                <w:b/>
                <w:szCs w:val="28"/>
                <w:lang w:eastAsia="en-US"/>
              </w:rPr>
              <w:t>Звезднинского городского</w:t>
            </w:r>
            <w:r w:rsidR="00C662B9" w:rsidRPr="00C662B9">
              <w:rPr>
                <w:rFonts w:eastAsia="Calibri"/>
                <w:b/>
                <w:szCs w:val="28"/>
                <w:lang w:eastAsia="en-US"/>
              </w:rPr>
              <w:t xml:space="preserve"> поселения</w:t>
            </w:r>
            <w:r w:rsidR="00C73A6B" w:rsidRPr="00C73A6B">
              <w:rPr>
                <w:rFonts w:eastAsia="Calibri"/>
                <w:b/>
                <w:szCs w:val="28"/>
                <w:lang w:eastAsia="en-US"/>
              </w:rPr>
              <w:t xml:space="preserve"> Усть-Кутского муниципального района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Иркутской области</w:t>
            </w:r>
          </w:p>
        </w:tc>
      </w:tr>
      <w:tr w:rsidR="008E0BEF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361D5F" w:rsidRDefault="0085427B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0E54F8">
        <w:rPr>
          <w:rFonts w:eastAsia="TimesNewRomanPSMT"/>
        </w:rPr>
        <w:t>МО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</w:t>
      </w:r>
      <w:r w:rsidRPr="00FA44B8">
        <w:rPr>
          <w:rFonts w:eastAsia="TimesNewRomanPSMT"/>
        </w:rPr>
        <w:t>1.2.1</w:t>
      </w:r>
      <w:r w:rsidR="00F52787" w:rsidRPr="00FA44B8">
        <w:rPr>
          <w:rFonts w:eastAsia="TimesNewRomanPSMT"/>
        </w:rPr>
        <w:t>-</w:t>
      </w:r>
      <w:r w:rsidR="0008357D" w:rsidRPr="00FA44B8">
        <w:rPr>
          <w:rFonts w:eastAsia="TimesNewRomanPSMT"/>
        </w:rPr>
        <w:t xml:space="preserve"> 1.2.</w:t>
      </w:r>
      <w:r w:rsidR="00F52787" w:rsidRPr="00FA44B8">
        <w:rPr>
          <w:rFonts w:eastAsia="TimesNewRomanPSMT"/>
        </w:rPr>
        <w:t>4</w:t>
      </w:r>
      <w:r w:rsidRPr="00FA44B8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дорог местного значения в границах населенных пунктов</w:t>
      </w:r>
    </w:p>
    <w:p w:rsidR="00783CAD" w:rsidRPr="00D13A8D" w:rsidRDefault="00783CAD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95"/>
        <w:gridCol w:w="2971"/>
        <w:gridCol w:w="2689"/>
      </w:tblGrid>
      <w:tr w:rsidR="00783CAD" w:rsidRPr="00783CAD" w:rsidTr="00CD47B3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CD47B3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CD47B3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77468" w:rsidRDefault="0019308A" w:rsidP="00783CAD">
            <w:pPr>
              <w:rPr>
                <w:color w:val="000000"/>
                <w:sz w:val="22"/>
              </w:rPr>
            </w:pPr>
            <w:r w:rsidRPr="00777468"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77468" w:rsidRDefault="0019308A" w:rsidP="0019308A">
            <w:pPr>
              <w:jc w:val="center"/>
              <w:rPr>
                <w:color w:val="000000"/>
                <w:sz w:val="22"/>
              </w:rPr>
            </w:pPr>
            <w:r w:rsidRPr="00777468">
              <w:rPr>
                <w:sz w:val="22"/>
                <w:szCs w:val="28"/>
              </w:rPr>
              <w:t>плотность сети, км/км</w:t>
            </w:r>
            <w:r w:rsidRPr="00777468">
              <w:rPr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777468" w:rsidRDefault="0019308A" w:rsidP="00783CA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777468">
              <w:rPr>
                <w:color w:val="000000"/>
                <w:sz w:val="22"/>
              </w:rPr>
              <w:t>3,5</w:t>
            </w:r>
          </w:p>
        </w:tc>
      </w:tr>
      <w:tr w:rsidR="00783CAD" w:rsidRPr="00783CAD" w:rsidTr="00CD47B3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  <w:p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CD47B3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9692A" w:rsidRDefault="0019692A" w:rsidP="0019692A">
      <w:pPr>
        <w:autoSpaceDE w:val="0"/>
        <w:spacing w:line="276" w:lineRule="auto"/>
        <w:rPr>
          <w:rFonts w:eastAsia="TimesNewRomanPSMT"/>
        </w:rPr>
      </w:pP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</w:t>
      </w:r>
      <w:proofErr w:type="spellStart"/>
      <w:r>
        <w:rPr>
          <w:color w:val="000000" w:themeColor="text1"/>
        </w:rPr>
        <w:t>Минрегиона</w:t>
      </w:r>
      <w:proofErr w:type="spellEnd"/>
      <w:r>
        <w:rPr>
          <w:color w:val="000000" w:themeColor="text1"/>
        </w:rPr>
        <w:t xml:space="preserve">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следует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</w:t>
      </w:r>
      <w:proofErr w:type="spellStart"/>
      <w:r w:rsidR="000D7909">
        <w:rPr>
          <w:color w:val="000000" w:themeColor="text1"/>
        </w:rPr>
        <w:t>Минрегиона</w:t>
      </w:r>
      <w:proofErr w:type="spellEnd"/>
      <w:r w:rsidR="000D7909">
        <w:rPr>
          <w:color w:val="000000" w:themeColor="text1"/>
        </w:rPr>
        <w:t xml:space="preserve">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1A189E" w:rsidRDefault="001A189E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 xml:space="preserve">в области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:rsidTr="0066742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:rsidTr="00DA6D69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1A189E" w:rsidRPr="00EB5097" w:rsidTr="001A189E">
        <w:trPr>
          <w:trHeight w:val="408"/>
        </w:trPr>
        <w:tc>
          <w:tcPr>
            <w:tcW w:w="567" w:type="dxa"/>
            <w:vMerge w:val="restart"/>
          </w:tcPr>
          <w:p w:rsidR="001A189E" w:rsidRPr="001A189E" w:rsidRDefault="001A189E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89E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A189E" w:rsidRPr="00EB5097" w:rsidRDefault="001A189E" w:rsidP="00F432C6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</w:tcPr>
          <w:p w:rsidR="001A189E" w:rsidRPr="00EB5097" w:rsidRDefault="001A189E" w:rsidP="00DD65C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В районах жилой застройки многоквартирными домами -1</w:t>
            </w:r>
          </w:p>
        </w:tc>
        <w:tc>
          <w:tcPr>
            <w:tcW w:w="1559" w:type="dxa"/>
            <w:vMerge w:val="restart"/>
            <w:vAlign w:val="center"/>
          </w:tcPr>
          <w:p w:rsidR="001A189E" w:rsidRPr="00EB5097" w:rsidRDefault="001A189E" w:rsidP="00DA6D69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Радиус</w:t>
            </w:r>
            <w:r w:rsidRPr="00EB5097">
              <w:rPr>
                <w:sz w:val="22"/>
                <w:szCs w:val="22"/>
                <w:lang w:eastAsia="en-US"/>
              </w:rPr>
              <w:t xml:space="preserve"> доступност</w:t>
            </w:r>
            <w:r>
              <w:rPr>
                <w:sz w:val="22"/>
                <w:szCs w:val="22"/>
                <w:lang w:eastAsia="en-US"/>
              </w:rPr>
              <w:t>и, м</w:t>
            </w:r>
            <w:r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Merge w:val="restart"/>
            <w:vAlign w:val="center"/>
          </w:tcPr>
          <w:p w:rsidR="001A189E" w:rsidRPr="00164635" w:rsidRDefault="001A189E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1A189E" w:rsidRPr="00EB5097" w:rsidTr="001A189E">
        <w:trPr>
          <w:trHeight w:val="1485"/>
        </w:trPr>
        <w:tc>
          <w:tcPr>
            <w:tcW w:w="567" w:type="dxa"/>
            <w:vMerge/>
          </w:tcPr>
          <w:p w:rsidR="001A189E" w:rsidRPr="001D21E5" w:rsidRDefault="001A189E" w:rsidP="0066742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1A189E" w:rsidRPr="00257D18" w:rsidRDefault="001A189E" w:rsidP="00F432C6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A189E" w:rsidRPr="00257D18" w:rsidRDefault="001A189E" w:rsidP="00DD65C2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В районах жилой застройки</w:t>
            </w:r>
          </w:p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индивидуальными жилыми домами – 1</w:t>
            </w:r>
          </w:p>
        </w:tc>
        <w:tc>
          <w:tcPr>
            <w:tcW w:w="1559" w:type="dxa"/>
            <w:vMerge/>
            <w:vAlign w:val="center"/>
          </w:tcPr>
          <w:p w:rsidR="001A189E" w:rsidRDefault="001A189E" w:rsidP="00DA6D69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1A189E" w:rsidRDefault="001A189E" w:rsidP="00667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 дорожек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lastRenderedPageBreak/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:rsidTr="00FA578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:rsidTr="00FA578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однополосного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1,0-1,5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1,75-2,5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0,75-1,0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2,00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777468">
              <w:rPr>
                <w:sz w:val="22"/>
                <w:lang w:eastAsia="en-US"/>
              </w:rPr>
              <w:t>велопешеходной</w:t>
            </w:r>
            <w:proofErr w:type="spellEnd"/>
            <w:r w:rsidRPr="00777468">
              <w:rPr>
                <w:sz w:val="22"/>
                <w:lang w:eastAsia="en-US"/>
              </w:rPr>
              <w:t xml:space="preserve"> дорожки,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1,5-6,0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1,5-3,25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1,5-2,0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0,90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Наименьший радиус кривых в плане, м: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отсутствии виража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30-50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10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F52787" w:rsidRDefault="008B33C3" w:rsidP="008B33C3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8B33C3">
        <w:rPr>
          <w:b/>
          <w:color w:val="000000" w:themeColor="text1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B33C3" w:rsidRP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Таблица 1.</w:t>
      </w:r>
      <w:r>
        <w:rPr>
          <w:color w:val="000000" w:themeColor="text1"/>
        </w:rPr>
        <w:t>2</w:t>
      </w:r>
      <w:r w:rsidRPr="008B33C3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8B33C3">
        <w:rPr>
          <w:color w:val="000000" w:themeColor="text1"/>
        </w:rPr>
        <w:t xml:space="preserve">. Расчетные показатели уровня обеспеченности объектами 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291"/>
        <w:gridCol w:w="1703"/>
        <w:gridCol w:w="1279"/>
        <w:gridCol w:w="1424"/>
        <w:gridCol w:w="1323"/>
      </w:tblGrid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№   </w:t>
            </w:r>
            <w:r w:rsidRPr="00A17412">
              <w:rPr>
                <w:b/>
                <w:color w:val="000000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B33C3" w:rsidRPr="00A17412" w:rsidRDefault="008B33C3" w:rsidP="00E079FE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Максимально</w:t>
            </w:r>
          </w:p>
          <w:p w:rsidR="008B33C3" w:rsidRPr="00A17412" w:rsidRDefault="008B33C3" w:rsidP="00E079FE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допустимый уровень </w:t>
            </w:r>
          </w:p>
          <w:p w:rsidR="008B33C3" w:rsidRPr="00A17412" w:rsidRDefault="008B33C3" w:rsidP="00E079FE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территориальной </w:t>
            </w:r>
          </w:p>
          <w:p w:rsidR="008B33C3" w:rsidRPr="00A17412" w:rsidRDefault="008B33C3" w:rsidP="00E079FE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доступности</w:t>
            </w:r>
          </w:p>
        </w:tc>
      </w:tr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E079FE">
            <w:pPr>
              <w:ind w:left="136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B33C3" w:rsidRPr="00A17412" w:rsidRDefault="008B33C3" w:rsidP="00E079FE">
            <w:pPr>
              <w:ind w:left="107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</w:tr>
      <w:tr w:rsidR="008B33C3" w:rsidRPr="00A17412" w:rsidTr="00E079FE">
        <w:trPr>
          <w:cantSplit/>
          <w:trHeight w:val="193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E079FE">
            <w:pPr>
              <w:ind w:left="136" w:firstLine="1"/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8B33C3" w:rsidRPr="00A17412" w:rsidTr="001F1B32">
        <w:trPr>
          <w:cantSplit/>
          <w:trHeight w:val="958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  <w:vertAlign w:val="superscript"/>
              </w:rPr>
            </w:pPr>
            <w:r w:rsidRPr="00777468">
              <w:rPr>
                <w:sz w:val="22"/>
                <w:lang w:eastAsia="en-US"/>
              </w:rPr>
              <w:t>Многоквартирный жилой дом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20FA5">
              <w:rPr>
                <w:sz w:val="22"/>
                <w:szCs w:val="22"/>
              </w:rPr>
              <w:t>машино-место</w:t>
            </w:r>
            <w:r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Align w:val="center"/>
          </w:tcPr>
          <w:p w:rsidR="008B33C3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8B33C3" w:rsidRPr="00A17412" w:rsidTr="00E079FE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8B33C3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3F33EE">
              <w:rPr>
                <w:b/>
                <w:sz w:val="22"/>
                <w:szCs w:val="22"/>
              </w:rPr>
              <w:t xml:space="preserve">Места для паркования легковых автомобилей постоянного и дневного населения </w:t>
            </w:r>
            <w:r>
              <w:rPr>
                <w:b/>
                <w:sz w:val="22"/>
                <w:szCs w:val="22"/>
              </w:rPr>
              <w:t>городского поселения</w:t>
            </w:r>
            <w:r w:rsidRPr="003F33EE">
              <w:rPr>
                <w:b/>
                <w:sz w:val="22"/>
                <w:szCs w:val="22"/>
              </w:rPr>
              <w:t xml:space="preserve"> при поездках с различными целями у следующих объектов:</w:t>
            </w:r>
          </w:p>
        </w:tc>
      </w:tr>
      <w:tr w:rsidR="001F1B32" w:rsidRPr="00A17412" w:rsidTr="006471D1">
        <w:trPr>
          <w:cantSplit/>
          <w:trHeight w:val="1862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D6118A">
              <w:rPr>
                <w:sz w:val="22"/>
                <w:szCs w:val="22"/>
              </w:rPr>
              <w:t>машино</w:t>
            </w:r>
            <w:proofErr w:type="spellEnd"/>
            <w:r w:rsidRPr="00D6118A">
              <w:rPr>
                <w:sz w:val="22"/>
                <w:szCs w:val="22"/>
              </w:rPr>
              <w:t>-место на</w:t>
            </w:r>
            <w:r>
              <w:rPr>
                <w:sz w:val="22"/>
                <w:szCs w:val="22"/>
              </w:rPr>
              <w:t xml:space="preserve"> 200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кв.м</w:t>
            </w:r>
            <w:proofErr w:type="spell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административных (офисных) помещений объ</w:t>
            </w:r>
            <w:r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1F1B3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052A19">
              <w:rPr>
                <w:sz w:val="22"/>
                <w:szCs w:val="22"/>
              </w:rPr>
              <w:t>машино</w:t>
            </w:r>
            <w:proofErr w:type="spellEnd"/>
            <w:r w:rsidRPr="00052A19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3</w:t>
            </w:r>
            <w:r w:rsidRPr="00052A19">
              <w:rPr>
                <w:sz w:val="22"/>
                <w:szCs w:val="22"/>
              </w:rPr>
              <w:t xml:space="preserve">0 </w:t>
            </w:r>
            <w:proofErr w:type="spellStart"/>
            <w:r w:rsidRPr="00052A19">
              <w:rPr>
                <w:sz w:val="22"/>
                <w:szCs w:val="22"/>
              </w:rPr>
              <w:t>кв.м</w:t>
            </w:r>
            <w:proofErr w:type="spellEnd"/>
            <w:r w:rsidRPr="00052A19">
              <w:rPr>
                <w:sz w:val="22"/>
                <w:szCs w:val="22"/>
              </w:rPr>
              <w:t xml:space="preserve"> общей площади</w:t>
            </w:r>
            <w:r>
              <w:t xml:space="preserve"> </w:t>
            </w:r>
            <w:r w:rsidRPr="00052A19">
              <w:rPr>
                <w:sz w:val="22"/>
                <w:szCs w:val="22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E96D05">
              <w:rPr>
                <w:sz w:val="22"/>
                <w:szCs w:val="22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D6118A">
              <w:rPr>
                <w:sz w:val="22"/>
                <w:szCs w:val="22"/>
              </w:rPr>
              <w:t>машино</w:t>
            </w:r>
            <w:proofErr w:type="spellEnd"/>
            <w:r w:rsidRPr="00D6118A">
              <w:rPr>
                <w:sz w:val="22"/>
                <w:szCs w:val="22"/>
              </w:rPr>
              <w:t>-место на</w:t>
            </w:r>
            <w:r>
              <w:rPr>
                <w:sz w:val="22"/>
                <w:szCs w:val="22"/>
              </w:rPr>
              <w:t xml:space="preserve"> 55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кв.м</w:t>
            </w:r>
            <w:proofErr w:type="spell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административных (офисных) помещений объ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4D1B27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310E7B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310E7B">
              <w:rPr>
                <w:sz w:val="22"/>
                <w:szCs w:val="22"/>
              </w:rPr>
              <w:t>машино</w:t>
            </w:r>
            <w:proofErr w:type="spellEnd"/>
            <w:r w:rsidRPr="00310E7B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20</w:t>
            </w:r>
            <w:r w:rsidRPr="00310E7B">
              <w:rPr>
                <w:sz w:val="22"/>
                <w:szCs w:val="22"/>
              </w:rPr>
              <w:t xml:space="preserve"> </w:t>
            </w:r>
            <w:proofErr w:type="spellStart"/>
            <w:r w:rsidRPr="00310E7B">
              <w:rPr>
                <w:sz w:val="22"/>
                <w:szCs w:val="22"/>
              </w:rPr>
              <w:t>кв.м</w:t>
            </w:r>
            <w:proofErr w:type="spellEnd"/>
            <w:r w:rsidRPr="00310E7B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 xml:space="preserve">клубных </w:t>
            </w:r>
            <w:r w:rsidRPr="00310E7B">
              <w:rPr>
                <w:sz w:val="22"/>
                <w:szCs w:val="22"/>
              </w:rPr>
              <w:t>помещений 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работающих в двух смежных сменах – </w:t>
            </w:r>
            <w:r>
              <w:rPr>
                <w:sz w:val="22"/>
                <w:szCs w:val="22"/>
              </w:rPr>
              <w:t>8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702DD0" w:rsidRDefault="008B33C3" w:rsidP="00E079FE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 xml:space="preserve">машино-место на количество работающих в двух смежных сменах – </w:t>
            </w:r>
            <w:r>
              <w:rPr>
                <w:sz w:val="22"/>
                <w:szCs w:val="22"/>
              </w:rPr>
              <w:t>160</w:t>
            </w:r>
            <w:r w:rsidRPr="0040002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30</w:t>
            </w:r>
            <w:r w:rsidRPr="0040002F">
              <w:rPr>
                <w:sz w:val="22"/>
                <w:szCs w:val="22"/>
              </w:rPr>
              <w:t xml:space="preserve"> </w:t>
            </w:r>
            <w:proofErr w:type="spellStart"/>
            <w:r w:rsidRPr="0040002F">
              <w:rPr>
                <w:sz w:val="22"/>
                <w:szCs w:val="22"/>
              </w:rPr>
              <w:t>кв.м</w:t>
            </w:r>
            <w:proofErr w:type="spellEnd"/>
            <w:r w:rsidRPr="0040002F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B33C3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4</w:t>
            </w:r>
            <w:r w:rsidRPr="0040002F">
              <w:rPr>
                <w:sz w:val="22"/>
                <w:szCs w:val="22"/>
              </w:rPr>
              <w:t xml:space="preserve">0 </w:t>
            </w:r>
            <w:proofErr w:type="spellStart"/>
            <w:r w:rsidRPr="0040002F">
              <w:rPr>
                <w:sz w:val="22"/>
                <w:szCs w:val="22"/>
              </w:rPr>
              <w:t>кв.м</w:t>
            </w:r>
            <w:proofErr w:type="spellEnd"/>
            <w:r w:rsidRPr="0040002F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4</w:t>
            </w:r>
            <w:r w:rsidRPr="00187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 посадочных мест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187AB0">
              <w:rPr>
                <w:sz w:val="22"/>
                <w:szCs w:val="22"/>
              </w:rPr>
              <w:t>машино</w:t>
            </w:r>
            <w:proofErr w:type="spellEnd"/>
            <w:r w:rsidRPr="00187AB0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2</w:t>
            </w:r>
            <w:r w:rsidRPr="00187AB0">
              <w:rPr>
                <w:sz w:val="22"/>
                <w:szCs w:val="22"/>
              </w:rPr>
              <w:t xml:space="preserve">0 </w:t>
            </w:r>
            <w:proofErr w:type="spellStart"/>
            <w:r w:rsidRPr="00187AB0">
              <w:rPr>
                <w:sz w:val="22"/>
                <w:szCs w:val="22"/>
              </w:rPr>
              <w:t>кв.м</w:t>
            </w:r>
            <w:proofErr w:type="spellEnd"/>
            <w:r w:rsidRPr="00187AB0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 w:rsidRPr="00D144B5">
              <w:t>рабочих мест приёмщиков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1F1B32" w:rsidRPr="00A17412" w:rsidTr="001F1B32">
        <w:trPr>
          <w:cantSplit/>
          <w:trHeight w:val="1207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960B0F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>
              <w:t>мест на трибунах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25</w:t>
            </w:r>
            <w:r w:rsidRPr="00E651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</w:t>
            </w:r>
            <w:r w:rsidRPr="00E6516E">
              <w:rPr>
                <w:sz w:val="22"/>
                <w:szCs w:val="22"/>
              </w:rPr>
              <w:t>.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4E5287" w:rsidRPr="00A17412" w:rsidTr="001F1B32">
        <w:trPr>
          <w:cantSplit/>
          <w:trHeight w:val="1692"/>
          <w:jc w:val="center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Default="004E5287" w:rsidP="004E528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 xml:space="preserve">Железнодорожные вокзалы и </w:t>
            </w:r>
          </w:p>
          <w:p w:rsidR="004E5287" w:rsidRPr="0015168C" w:rsidRDefault="004E5287" w:rsidP="004E528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станции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1E0177" w:rsidRDefault="004E5287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1E0177">
              <w:rPr>
                <w:sz w:val="22"/>
                <w:szCs w:val="22"/>
              </w:rPr>
              <w:t xml:space="preserve">машино-место на количество </w:t>
            </w:r>
            <w:r w:rsidRPr="00D144B5">
              <w:t>пассажиров дальнего следования в час пик</w:t>
            </w:r>
            <w:r w:rsidRPr="001E017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</w:t>
            </w:r>
            <w:r w:rsidRPr="001E0177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Default="004E5287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8B33C3" w:rsidRPr="008B33C3" w:rsidRDefault="008B33C3" w:rsidP="008B33C3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B33C3" w:rsidRPr="001D21E5" w:rsidRDefault="008B33C3" w:rsidP="00F52787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</w:t>
            </w:r>
            <w:r w:rsidR="00C662B9">
              <w:rPr>
                <w:b/>
              </w:rPr>
              <w:t xml:space="preserve">населения </w:t>
            </w:r>
            <w:r w:rsidR="003853D0" w:rsidRPr="003853D0">
              <w:rPr>
                <w:b/>
              </w:rPr>
              <w:t>Звезднинского городского</w:t>
            </w:r>
            <w:r w:rsidR="003853D0" w:rsidRPr="003853D0">
              <w:t xml:space="preserve"> </w:t>
            </w:r>
            <w:r w:rsidR="00C662B9" w:rsidRPr="00C662B9">
              <w:rPr>
                <w:b/>
              </w:rPr>
              <w:t xml:space="preserve">поселения </w:t>
            </w:r>
            <w:r w:rsidR="00C662B9" w:rsidRPr="00C73A6B">
              <w:rPr>
                <w:b/>
              </w:rPr>
              <w:t>Усть</w:t>
            </w:r>
            <w:r w:rsidR="00C73A6B" w:rsidRPr="00C73A6B">
              <w:rPr>
                <w:b/>
              </w:rPr>
              <w:t xml:space="preserve">-Кутского муниципального района </w:t>
            </w:r>
            <w:r w:rsidR="00C73A6B" w:rsidRPr="00AE2413">
              <w:rPr>
                <w:b/>
              </w:rPr>
              <w:t>Иркутской</w:t>
            </w:r>
            <w:r w:rsidR="00AE2413" w:rsidRPr="00AE2413">
              <w:rPr>
                <w:b/>
              </w:rPr>
              <w:t xml:space="preserve"> области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установлены в соответствии с по</w:t>
      </w:r>
      <w:r w:rsidR="00361D5F">
        <w:rPr>
          <w:rFonts w:eastAsia="TimesNewRomanPSMT"/>
        </w:rPr>
        <w:t xml:space="preserve">лномочиями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 xml:space="preserve">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</w:t>
      </w:r>
      <w:r>
        <w:rPr>
          <w:rFonts w:eastAsia="TimesNewRomanPSMT"/>
        </w:rPr>
        <w:lastRenderedPageBreak/>
        <w:t>услугами организаций культуры, утвержденных распоряжением Министерства культуры Российской Федерации от 2.08.2017 г. № Р-965.</w:t>
      </w:r>
    </w:p>
    <w:p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>
      <w:pPr>
        <w:rPr>
          <w:sz w:val="22"/>
          <w:szCs w:val="22"/>
        </w:rPr>
      </w:pPr>
    </w:p>
    <w:p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72"/>
        <w:gridCol w:w="1814"/>
        <w:gridCol w:w="1559"/>
        <w:gridCol w:w="1277"/>
      </w:tblGrid>
      <w:tr w:rsidR="00B8570D" w:rsidRPr="00EB5097" w:rsidTr="000D4A7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EB5097" w:rsidTr="00777468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1D21E5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val="en-US" w:eastAsia="en-US"/>
              </w:rPr>
              <w:t>1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</w:tc>
        <w:tc>
          <w:tcPr>
            <w:tcW w:w="1872" w:type="dxa"/>
          </w:tcPr>
          <w:p w:rsidR="00B8570D" w:rsidRPr="00EB5097" w:rsidRDefault="00777468" w:rsidP="00B8570D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lang w:eastAsia="en-US"/>
              </w:rPr>
              <w:t>уровень обеспеченности, объект на населенный пункт</w:t>
            </w:r>
          </w:p>
        </w:tc>
        <w:tc>
          <w:tcPr>
            <w:tcW w:w="1814" w:type="dxa"/>
            <w:vAlign w:val="center"/>
          </w:tcPr>
          <w:p w:rsidR="00777468" w:rsidRPr="00777468" w:rsidRDefault="00777468" w:rsidP="007774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Общедоступная библиотека с детским отделением – 1;</w:t>
            </w:r>
          </w:p>
          <w:p w:rsidR="00B8570D" w:rsidRPr="00777468" w:rsidRDefault="00777468" w:rsidP="00777468">
            <w:pPr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 – 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6726DE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2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обеспеченности,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4D75A0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3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D935D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обеспеченности,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EB5097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1575C0" w:rsidRDefault="001575C0" w:rsidP="0076109F">
      <w:pPr>
        <w:jc w:val="both"/>
      </w:pPr>
    </w:p>
    <w:p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2F2513" w:rsidTr="00453C68"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453C68">
        <w:tc>
          <w:tcPr>
            <w:tcW w:w="9356" w:type="dxa"/>
            <w:gridSpan w:val="3"/>
            <w:shd w:val="clear" w:color="auto" w:fill="auto"/>
          </w:tcPr>
          <w:p w:rsidR="00453C68" w:rsidRDefault="00453C6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D56638" w:rsidRPr="00D56638">
              <w:rPr>
                <w:b/>
                <w:spacing w:val="-6"/>
                <w:lang w:eastAsia="en-US"/>
              </w:rPr>
              <w:t>Звезднинского городского</w:t>
            </w:r>
            <w:r w:rsidR="00C662B9" w:rsidRPr="00C662B9">
              <w:rPr>
                <w:b/>
                <w:spacing w:val="-6"/>
                <w:lang w:eastAsia="en-US"/>
              </w:rPr>
              <w:t xml:space="preserve"> поселения</w:t>
            </w:r>
            <w:r w:rsidR="002B6169" w:rsidRPr="002B6169">
              <w:rPr>
                <w:b/>
                <w:spacing w:val="-6"/>
                <w:lang w:eastAsia="en-US"/>
              </w:rPr>
              <w:t xml:space="preserve"> Усть-Кутского муниципального района</w:t>
            </w:r>
            <w:r w:rsidR="00AE2413" w:rsidRPr="00AE2413">
              <w:rPr>
                <w:b/>
              </w:rPr>
              <w:t xml:space="preserve"> Иркутской области</w:t>
            </w:r>
          </w:p>
        </w:tc>
      </w:tr>
      <w:tr w:rsidR="002F2513" w:rsidRPr="00FC0695" w:rsidTr="00453C68">
        <w:trPr>
          <w:trHeight w:val="80"/>
        </w:trPr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F2513" w:rsidRDefault="002F2513" w:rsidP="0083301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 xml:space="preserve"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>
        <w:rPr>
          <w:rFonts w:eastAsia="TimesNewRomanPSMT"/>
        </w:rPr>
        <w:t>.0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>.201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г. № </w:t>
      </w:r>
      <w:r w:rsidR="00D935DF">
        <w:rPr>
          <w:rFonts w:eastAsia="TimesNewRomanPSMT"/>
        </w:rPr>
        <w:t>729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397"/>
        <w:gridCol w:w="2175"/>
        <w:gridCol w:w="1134"/>
        <w:gridCol w:w="1657"/>
        <w:gridCol w:w="1290"/>
      </w:tblGrid>
      <w:tr w:rsidR="002F2513" w:rsidRPr="00AE2413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AE2413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DD65C2" w:rsidRPr="00777468" w:rsidRDefault="00DD65C2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t>1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DD65C2" w:rsidRPr="00EB4882" w:rsidRDefault="00777468" w:rsidP="000D4A74">
            <w:pPr>
              <w:rPr>
                <w:color w:val="000000"/>
              </w:rPr>
            </w:pPr>
            <w:r w:rsidRPr="00777468">
              <w:rPr>
                <w:color w:val="000000"/>
                <w:sz w:val="22"/>
                <w:szCs w:val="22"/>
              </w:rPr>
              <w:t>Помещения для физкультурно-спортивных занятий</w:t>
            </w:r>
          </w:p>
        </w:tc>
        <w:tc>
          <w:tcPr>
            <w:tcW w:w="1172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 xml:space="preserve">удельная площадь пола спортивных залов на 1000 жит., </w:t>
            </w:r>
            <w:proofErr w:type="spellStart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F92123" w:rsidRPr="00777468" w:rsidRDefault="00F92123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t>2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F92123" w:rsidRPr="00D6315C" w:rsidRDefault="006B5F20" w:rsidP="00777468">
            <w:pPr>
              <w:rPr>
                <w:color w:val="000000"/>
              </w:rPr>
            </w:pPr>
            <w:r w:rsidRPr="006B5F20">
              <w:rPr>
                <w:color w:val="000000"/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DD65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0D4A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25C0B" w:rsidRDefault="00425C0B" w:rsidP="00507A72">
      <w:pPr>
        <w:jc w:val="both"/>
      </w:pPr>
    </w:p>
    <w:p w:rsidR="00DD65C2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7E3585" w:rsidTr="00C15DEB">
        <w:tc>
          <w:tcPr>
            <w:tcW w:w="513" w:type="dxa"/>
            <w:shd w:val="clear" w:color="auto" w:fill="auto"/>
          </w:tcPr>
          <w:p w:rsidR="007E3585" w:rsidRPr="00FC0695" w:rsidRDefault="007E3585" w:rsidP="00E079FE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7E3585" w:rsidRPr="00FC0695" w:rsidRDefault="007E3585" w:rsidP="00E079FE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E3585" w:rsidTr="00C15DEB">
        <w:tc>
          <w:tcPr>
            <w:tcW w:w="9247" w:type="dxa"/>
            <w:gridSpan w:val="3"/>
            <w:shd w:val="clear" w:color="auto" w:fill="auto"/>
          </w:tcPr>
          <w:p w:rsidR="007E3585" w:rsidRDefault="007E3585" w:rsidP="007E3585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образования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Pr="00D56638">
              <w:rPr>
                <w:b/>
              </w:rPr>
              <w:t>Звезднинского городского</w:t>
            </w:r>
            <w:r w:rsidRPr="00C662B9">
              <w:rPr>
                <w:b/>
              </w:rPr>
              <w:t xml:space="preserve"> поселения </w:t>
            </w:r>
            <w:r w:rsidRPr="002B6169">
              <w:rPr>
                <w:b/>
              </w:rPr>
              <w:t xml:space="preserve">Усть-Кутского муниципального района </w:t>
            </w:r>
            <w:r w:rsidRPr="00AE2413">
              <w:rPr>
                <w:b/>
              </w:rPr>
              <w:t>Иркутской области</w:t>
            </w:r>
          </w:p>
        </w:tc>
      </w:tr>
      <w:tr w:rsidR="007E3585" w:rsidRPr="00FC0695" w:rsidTr="00C15DEB">
        <w:trPr>
          <w:trHeight w:val="80"/>
        </w:trPr>
        <w:tc>
          <w:tcPr>
            <w:tcW w:w="513" w:type="dxa"/>
            <w:shd w:val="clear" w:color="auto" w:fill="auto"/>
          </w:tcPr>
          <w:p w:rsidR="007E3585" w:rsidRPr="00FC0695" w:rsidRDefault="007E3585" w:rsidP="00E079FE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7E3585" w:rsidRPr="00FC0695" w:rsidRDefault="007E3585" w:rsidP="00E079FE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E3585" w:rsidRPr="009238B5" w:rsidRDefault="007E3585" w:rsidP="00E079FE">
            <w:pPr>
              <w:autoSpaceDE w:val="0"/>
              <w:rPr>
                <w:b/>
                <w:sz w:val="22"/>
              </w:rPr>
            </w:pPr>
          </w:p>
        </w:tc>
      </w:tr>
    </w:tbl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Расчетные показатели для объектов местного значения в области образования установлены в соответствии с полномочиями городского поселения в указанной сфере,</w:t>
      </w:r>
      <w:r w:rsidRPr="00C15DEB">
        <w:rPr>
          <w:sz w:val="22"/>
          <w:szCs w:val="22"/>
        </w:rPr>
        <w:t xml:space="preserve"> </w:t>
      </w:r>
      <w:r w:rsidRPr="00C15DEB">
        <w:rPr>
          <w:rFonts w:eastAsia="TimesNewRomanPSMT"/>
          <w:sz w:val="22"/>
          <w:szCs w:val="22"/>
        </w:rPr>
        <w:t>определены в соответствии с условиями текущей обеспеченности населения городского поселения,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№ АК-15/02вн.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1.4.1.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</w:p>
    <w:p w:rsidR="00C15DEB" w:rsidRPr="00C15DEB" w:rsidRDefault="00C15DEB" w:rsidP="00C15DEB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Таблица 1.4.1.</w:t>
      </w:r>
    </w:p>
    <w:tbl>
      <w:tblPr>
        <w:tblW w:w="9479" w:type="dxa"/>
        <w:tblInd w:w="-15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C15DEB" w:rsidRPr="00C15DEB" w:rsidTr="00E079FE">
        <w:trPr>
          <w:trHeight w:val="778"/>
        </w:trPr>
        <w:tc>
          <w:tcPr>
            <w:tcW w:w="483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Наименование объекта</w:t>
            </w:r>
          </w:p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15DEB" w:rsidRPr="00C15DEB" w:rsidTr="00E079FE">
        <w:trPr>
          <w:trHeight w:val="505"/>
        </w:trPr>
        <w:tc>
          <w:tcPr>
            <w:tcW w:w="483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 xml:space="preserve">Единица </w:t>
            </w:r>
          </w:p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</w:tr>
      <w:tr w:rsidR="00C15DEB" w:rsidRPr="00C15DEB" w:rsidTr="00E079FE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C15DEB">
              <w:rPr>
                <w:spacing w:val="-6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обеспеченности, мест на 100 детей</w:t>
            </w:r>
          </w:p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в возрасте</w:t>
            </w:r>
          </w:p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от 2 до 7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65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обслуживания, м.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300</w:t>
            </w:r>
          </w:p>
        </w:tc>
      </w:tr>
      <w:tr w:rsidR="00C15DEB" w:rsidRPr="00C15DEB" w:rsidTr="00E079FE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 xml:space="preserve">уровень обеспеченности, мест на </w:t>
            </w:r>
            <w:r w:rsidRPr="00C15DEB">
              <w:rPr>
                <w:sz w:val="22"/>
                <w:szCs w:val="22"/>
              </w:rPr>
              <w:lastRenderedPageBreak/>
              <w:t>100 детей в возрасте от 7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обслуживания, м.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500</w:t>
            </w:r>
          </w:p>
        </w:tc>
      </w:tr>
      <w:tr w:rsidR="00C15DEB" w:rsidRPr="00C15DEB" w:rsidTr="00E079FE">
        <w:trPr>
          <w:trHeight w:val="2399"/>
        </w:trPr>
        <w:tc>
          <w:tcPr>
            <w:tcW w:w="483" w:type="dxa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обеспеченности,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75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color w:val="000000"/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</w:t>
            </w:r>
          </w:p>
        </w:tc>
      </w:tr>
    </w:tbl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C15DEB">
        <w:rPr>
          <w:rFonts w:eastAsia="TimesNewRomanPSMT"/>
          <w:szCs w:val="22"/>
        </w:rPr>
        <w:t>Примечания: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C15DEB">
        <w:rPr>
          <w:rFonts w:eastAsia="TimesNewRomanPSMT"/>
          <w:szCs w:val="22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C15DEB">
        <w:rPr>
          <w:rFonts w:eastAsia="TimesNewRomanPSMT"/>
          <w:szCs w:val="22"/>
        </w:rPr>
        <w:t>2.</w:t>
      </w:r>
      <w:r w:rsidRPr="00C15DEB">
        <w:rPr>
          <w:szCs w:val="22"/>
        </w:rPr>
        <w:t xml:space="preserve"> </w:t>
      </w:r>
      <w:r w:rsidRPr="00C15DEB">
        <w:rPr>
          <w:rFonts w:eastAsia="TimesNewRomanPSMT"/>
          <w:szCs w:val="22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C15DEB">
        <w:rPr>
          <w:rFonts w:eastAsia="TimesNewRomanPSMT"/>
          <w:szCs w:val="22"/>
        </w:rPr>
        <w:t>Максимально допустимый уровень территориальной доступности организаций, реализующих программы дополнительного образования, специализированных и оздоровительных дошкольных образовательных организаций и общеобразовательных организаций (языковых, математических, спортивных и т.п.) составляет 30 минут (1500 м).</w:t>
      </w:r>
    </w:p>
    <w:p w:rsidR="007E3585" w:rsidRDefault="007E3585" w:rsidP="00507A72">
      <w:pPr>
        <w:jc w:val="both"/>
      </w:pPr>
    </w:p>
    <w:p w:rsidR="007E3585" w:rsidRDefault="007E3585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0D14F9" w:rsidTr="00DB457D">
        <w:tc>
          <w:tcPr>
            <w:tcW w:w="513" w:type="dxa"/>
            <w:shd w:val="clear" w:color="auto" w:fill="auto"/>
          </w:tcPr>
          <w:p w:rsidR="000D14F9" w:rsidRPr="00FC0695" w:rsidRDefault="000D14F9" w:rsidP="00E079FE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0D14F9" w:rsidRPr="00FC0695" w:rsidRDefault="000D14F9" w:rsidP="00E079FE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D14F9" w:rsidTr="00DB457D">
        <w:tc>
          <w:tcPr>
            <w:tcW w:w="9247" w:type="dxa"/>
            <w:gridSpan w:val="3"/>
            <w:shd w:val="clear" w:color="auto" w:fill="auto"/>
          </w:tcPr>
          <w:p w:rsidR="000D14F9" w:rsidRDefault="000D14F9" w:rsidP="000D14F9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1.6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 w:rsidR="00DB457D">
              <w:rPr>
                <w:b/>
              </w:rPr>
              <w:t>стного значения в области</w:t>
            </w:r>
            <w:r w:rsidRPr="000D14F9">
              <w:rPr>
                <w:b/>
              </w:rPr>
              <w:t xml:space="preserve"> жилищного строительства </w:t>
            </w:r>
            <w:r w:rsidRPr="000B6AED"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Pr="00D56638">
              <w:rPr>
                <w:b/>
              </w:rPr>
              <w:t>Звезднинского городского</w:t>
            </w:r>
            <w:r w:rsidRPr="00C662B9">
              <w:rPr>
                <w:b/>
              </w:rPr>
              <w:t xml:space="preserve"> поселения </w:t>
            </w:r>
            <w:r w:rsidRPr="002B6169">
              <w:rPr>
                <w:b/>
              </w:rPr>
              <w:t xml:space="preserve">Усть-Кутского муниципального района </w:t>
            </w:r>
            <w:r w:rsidRPr="00AE2413">
              <w:rPr>
                <w:b/>
              </w:rPr>
              <w:t>Иркутской области</w:t>
            </w:r>
          </w:p>
        </w:tc>
      </w:tr>
      <w:tr w:rsidR="000D14F9" w:rsidRPr="00FC0695" w:rsidTr="00DB457D">
        <w:trPr>
          <w:trHeight w:val="80"/>
        </w:trPr>
        <w:tc>
          <w:tcPr>
            <w:tcW w:w="513" w:type="dxa"/>
            <w:shd w:val="clear" w:color="auto" w:fill="auto"/>
          </w:tcPr>
          <w:p w:rsidR="000D14F9" w:rsidRPr="00FC0695" w:rsidRDefault="000D14F9" w:rsidP="00E079FE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0D14F9" w:rsidRPr="00FC0695" w:rsidRDefault="000D14F9" w:rsidP="00E079FE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14F9" w:rsidRPr="009238B5" w:rsidRDefault="000D14F9" w:rsidP="00E079FE">
            <w:pPr>
              <w:autoSpaceDE w:val="0"/>
              <w:rPr>
                <w:b/>
                <w:sz w:val="22"/>
              </w:rPr>
            </w:pP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sz w:val="28"/>
        </w:rPr>
      </w:pPr>
      <w:r w:rsidRPr="00DB457D">
        <w:rPr>
          <w:rFonts w:eastAsia="TimesNewRomanPSMT"/>
          <w:sz w:val="28"/>
        </w:rPr>
        <w:t>Расчетные показатели для объектов местного значения в области жилищного строительства установлены в соответствии с полномочиями городского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таблицах 1.</w:t>
      </w:r>
      <w:r>
        <w:rPr>
          <w:rFonts w:eastAsia="TimesNewRomanPSMT"/>
          <w:sz w:val="28"/>
        </w:rPr>
        <w:t>6</w:t>
      </w:r>
      <w:r w:rsidRPr="00DB457D">
        <w:rPr>
          <w:rFonts w:eastAsia="TimesNewRomanPSMT"/>
          <w:sz w:val="28"/>
        </w:rPr>
        <w:t>.1 – 1.</w:t>
      </w:r>
      <w:r>
        <w:rPr>
          <w:rFonts w:eastAsia="TimesNewRomanPSMT"/>
          <w:sz w:val="28"/>
        </w:rPr>
        <w:t>6</w:t>
      </w:r>
      <w:r w:rsidRPr="00DB457D">
        <w:rPr>
          <w:rFonts w:eastAsia="TimesNewRomanPSMT"/>
          <w:sz w:val="28"/>
        </w:rPr>
        <w:t>.2.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sz w:val="28"/>
        </w:rPr>
      </w:pPr>
      <w:r w:rsidRPr="00DB457D">
        <w:rPr>
          <w:rFonts w:eastAsia="TimesNewRomanPSMT"/>
          <w:sz w:val="28"/>
        </w:rPr>
        <w:t>Потребность в территориях для развития жилищного строительства имеет прямую зависимость от целевых показателей жилищной обеспеченности.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sz w:val="28"/>
        </w:rPr>
      </w:pPr>
      <w:r w:rsidRPr="00DB457D">
        <w:rPr>
          <w:rFonts w:eastAsia="TimesNewRomanPSMT"/>
          <w:sz w:val="28"/>
        </w:rPr>
        <w:t xml:space="preserve">Уровень обеспеченности жильем в среднем по </w:t>
      </w:r>
      <w:r w:rsidR="00CF762A">
        <w:rPr>
          <w:rFonts w:eastAsia="TimesNewRomanPSMT"/>
          <w:sz w:val="28"/>
        </w:rPr>
        <w:t>району</w:t>
      </w:r>
      <w:r w:rsidRPr="00DB457D">
        <w:rPr>
          <w:rFonts w:eastAsia="TimesNewRomanPSMT"/>
          <w:sz w:val="28"/>
        </w:rPr>
        <w:t xml:space="preserve">, по данным </w:t>
      </w:r>
      <w:proofErr w:type="gramStart"/>
      <w:r w:rsidR="00CF762A" w:rsidRPr="00CF762A">
        <w:rPr>
          <w:rFonts w:eastAsia="TimesNewRomanPSMT"/>
          <w:sz w:val="28"/>
        </w:rPr>
        <w:t>Иркутскстат</w:t>
      </w:r>
      <w:r w:rsidR="00CF762A">
        <w:rPr>
          <w:rFonts w:eastAsia="TimesNewRomanPSMT"/>
          <w:sz w:val="28"/>
        </w:rPr>
        <w:t xml:space="preserve">а </w:t>
      </w:r>
      <w:r w:rsidRPr="00DB457D">
        <w:rPr>
          <w:rFonts w:eastAsia="TimesNewRomanPSMT"/>
          <w:sz w:val="28"/>
        </w:rPr>
        <w:t>.</w:t>
      </w:r>
      <w:proofErr w:type="gramEnd"/>
    </w:p>
    <w:p w:rsidR="00DB457D" w:rsidRPr="00DB457D" w:rsidRDefault="00DB457D" w:rsidP="00DB457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DB457D">
        <w:rPr>
          <w:rFonts w:eastAsia="TimesNewRomanPSMT"/>
        </w:rPr>
        <w:t>Таблица 1.</w:t>
      </w:r>
      <w:r w:rsidR="00CF762A">
        <w:rPr>
          <w:rFonts w:eastAsia="TimesNewRomanPSMT"/>
        </w:rPr>
        <w:t>6</w:t>
      </w:r>
      <w:r w:rsidRPr="00DB457D">
        <w:rPr>
          <w:rFonts w:eastAsia="TimesNewRomanPSMT"/>
        </w:rPr>
        <w:t>.1.</w:t>
      </w:r>
      <w:r w:rsidRPr="00DB457D">
        <w:t xml:space="preserve"> </w:t>
      </w:r>
      <w:r w:rsidRPr="00DB457D">
        <w:rPr>
          <w:rFonts w:eastAsia="TimesNewRomanPSMT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785"/>
        <w:gridCol w:w="3579"/>
        <w:gridCol w:w="3985"/>
      </w:tblGrid>
      <w:tr w:rsidR="00DB457D" w:rsidRPr="00DB457D" w:rsidTr="00E079FE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DB457D" w:rsidRPr="00DB457D" w:rsidRDefault="00DB457D" w:rsidP="00DB457D">
            <w:pPr>
              <w:widowControl w:val="0"/>
              <w:jc w:val="center"/>
              <w:rPr>
                <w:b/>
              </w:rPr>
            </w:pPr>
            <w:r w:rsidRPr="00DB457D">
              <w:rPr>
                <w:b/>
              </w:rPr>
              <w:t>Наименование вида объекта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DB457D" w:rsidRPr="00DB457D" w:rsidRDefault="00DB457D" w:rsidP="00DB457D">
            <w:pPr>
              <w:widowControl w:val="0"/>
              <w:jc w:val="center"/>
              <w:rPr>
                <w:b/>
              </w:rPr>
            </w:pPr>
            <w:r w:rsidRPr="00DB457D">
              <w:rPr>
                <w:b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B457D" w:rsidRPr="00DB457D" w:rsidRDefault="00DB457D" w:rsidP="00DB457D">
            <w:pPr>
              <w:widowControl w:val="0"/>
              <w:jc w:val="center"/>
              <w:rPr>
                <w:b/>
              </w:rPr>
            </w:pPr>
            <w:r w:rsidRPr="00DB457D">
              <w:rPr>
                <w:b/>
              </w:rPr>
              <w:t>Значение расчетного показателя</w:t>
            </w:r>
          </w:p>
        </w:tc>
      </w:tr>
      <w:tr w:rsidR="00CF762A" w:rsidRPr="00DB457D" w:rsidTr="00CF762A">
        <w:trPr>
          <w:trHeight w:val="369"/>
          <w:jc w:val="center"/>
        </w:trPr>
        <w:tc>
          <w:tcPr>
            <w:tcW w:w="955" w:type="pct"/>
            <w:shd w:val="clear" w:color="auto" w:fill="auto"/>
          </w:tcPr>
          <w:p w:rsidR="00CF762A" w:rsidRPr="00DB457D" w:rsidRDefault="00CF762A" w:rsidP="00DB457D">
            <w:pPr>
              <w:widowControl w:val="0"/>
            </w:pPr>
            <w:r w:rsidRPr="00DB457D">
              <w:t>Жилые помещения</w:t>
            </w:r>
          </w:p>
        </w:tc>
        <w:tc>
          <w:tcPr>
            <w:tcW w:w="1914" w:type="pct"/>
            <w:shd w:val="clear" w:color="auto" w:fill="auto"/>
          </w:tcPr>
          <w:p w:rsidR="00CF762A" w:rsidRPr="00DB457D" w:rsidRDefault="00CF762A" w:rsidP="00DB457D">
            <w:pPr>
              <w:widowControl w:val="0"/>
              <w:rPr>
                <w:rFonts w:eastAsia="Calibri"/>
                <w:lang w:eastAsia="en-US"/>
              </w:rPr>
            </w:pPr>
            <w:r w:rsidRPr="00DB457D">
              <w:rPr>
                <w:rFonts w:eastAsia="Calibri"/>
                <w:lang w:eastAsia="en-US"/>
              </w:rPr>
              <w:t>Уровень жилищная обеспечен</w:t>
            </w:r>
            <w:r w:rsidRPr="00DB457D">
              <w:rPr>
                <w:rFonts w:eastAsia="Calibri"/>
                <w:lang w:eastAsia="en-US"/>
              </w:rPr>
              <w:lastRenderedPageBreak/>
              <w:t>ность, кв. м общей площади жилых помещений на человека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CF762A" w:rsidRPr="00DB457D" w:rsidRDefault="00CF762A" w:rsidP="00DB457D">
            <w:pPr>
              <w:widowControl w:val="0"/>
              <w:jc w:val="center"/>
            </w:pPr>
            <w:r w:rsidRPr="00DB457D">
              <w:lastRenderedPageBreak/>
              <w:t>2</w:t>
            </w:r>
            <w:r>
              <w:t>4</w:t>
            </w:r>
            <w:r w:rsidRPr="00DB457D">
              <w:t>,</w:t>
            </w:r>
            <w:r>
              <w:t>7</w:t>
            </w: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B457D">
        <w:rPr>
          <w:rFonts w:eastAsia="TimesNewRomanPSMT"/>
        </w:rPr>
        <w:lastRenderedPageBreak/>
        <w:t>Примечание: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B457D">
        <w:rPr>
          <w:rFonts w:eastAsia="TimesNewRomanPSMT"/>
        </w:rPr>
        <w:t>1. Расчетные показатели на перспективу могут корректироваться с учетом фактически достигнутой жилищной обеспеченности.</w:t>
      </w:r>
    </w:p>
    <w:p w:rsidR="00DB457D" w:rsidRPr="00DB457D" w:rsidRDefault="00DB457D" w:rsidP="00DB457D">
      <w:pPr>
        <w:autoSpaceDE w:val="0"/>
        <w:spacing w:line="276" w:lineRule="auto"/>
        <w:jc w:val="both"/>
        <w:rPr>
          <w:rFonts w:eastAsia="TimesNewRomanPSMT"/>
        </w:rPr>
      </w:pPr>
    </w:p>
    <w:p w:rsidR="00DB457D" w:rsidRPr="00DB457D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DB457D">
        <w:rPr>
          <w:sz w:val="28"/>
        </w:rPr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DB457D" w:rsidRPr="00DB457D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DB457D">
        <w:rPr>
          <w:sz w:val="28"/>
        </w:rPr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DB457D" w:rsidRPr="00DB457D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DB457D">
        <w:rPr>
          <w:sz w:val="28"/>
        </w:rPr>
        <w:t xml:space="preserve">Расчет площади нормируемых элементов дворовой территории осуществляется в соответствии с нормами СП 42 13330.2011 "Свод правил. Градостроительство. Планировка и застройка городских и сельских поселений. Актуализированная редакция СНиП 2.07.01-89*", приведенными в </w:t>
      </w:r>
      <w:hyperlink w:anchor="P2293" w:history="1">
        <w:r w:rsidRPr="00DB457D">
          <w:rPr>
            <w:sz w:val="28"/>
          </w:rPr>
          <w:t xml:space="preserve">таблице </w:t>
        </w:r>
      </w:hyperlink>
      <w:r w:rsidRPr="00DB457D">
        <w:rPr>
          <w:sz w:val="28"/>
        </w:rPr>
        <w:t>1.</w:t>
      </w:r>
      <w:r w:rsidR="00E46EEF">
        <w:rPr>
          <w:sz w:val="28"/>
        </w:rPr>
        <w:t>6</w:t>
      </w:r>
      <w:r w:rsidRPr="00DB457D">
        <w:rPr>
          <w:sz w:val="28"/>
        </w:rPr>
        <w:t>.2</w:t>
      </w:r>
    </w:p>
    <w:p w:rsidR="00DB457D" w:rsidRPr="00DB457D" w:rsidRDefault="00DB457D" w:rsidP="00DB457D">
      <w:pPr>
        <w:spacing w:after="200" w:line="276" w:lineRule="auto"/>
        <w:jc w:val="right"/>
        <w:rPr>
          <w:rFonts w:eastAsia="TimesNewRomanPSMT"/>
          <w:b/>
          <w:sz w:val="28"/>
          <w:szCs w:val="28"/>
        </w:rPr>
      </w:pPr>
      <w:r w:rsidRPr="00DB457D">
        <w:rPr>
          <w:rFonts w:eastAsia="TimesNewRomanPSMT"/>
        </w:rPr>
        <w:t>Таблица 1.</w:t>
      </w:r>
      <w:r w:rsidR="00E46EEF">
        <w:rPr>
          <w:rFonts w:eastAsia="TimesNewRomanPSMT"/>
        </w:rPr>
        <w:t>6</w:t>
      </w:r>
      <w:r w:rsidRPr="00DB457D">
        <w:rPr>
          <w:rFonts w:eastAsia="TimesNewRomanPSMT"/>
        </w:rPr>
        <w:t xml:space="preserve">.2 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41"/>
        <w:gridCol w:w="1644"/>
        <w:gridCol w:w="2202"/>
      </w:tblGrid>
      <w:tr w:rsidR="00DB457D" w:rsidRPr="00DB457D" w:rsidTr="00E079FE">
        <w:tc>
          <w:tcPr>
            <w:tcW w:w="3685" w:type="dxa"/>
            <w:vAlign w:val="center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Cs w:val="20"/>
              </w:rPr>
            </w:pPr>
            <w:r w:rsidRPr="00DB457D">
              <w:rPr>
                <w:b/>
                <w:color w:val="000000" w:themeColor="text1"/>
                <w:szCs w:val="20"/>
              </w:rPr>
              <w:t>Площадки, размещаемые на территории жилой застройки</w:t>
            </w:r>
          </w:p>
        </w:tc>
        <w:tc>
          <w:tcPr>
            <w:tcW w:w="2041" w:type="dxa"/>
            <w:vAlign w:val="center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Cs w:val="20"/>
              </w:rPr>
            </w:pPr>
            <w:r w:rsidRPr="00DB457D">
              <w:rPr>
                <w:b/>
                <w:color w:val="000000" w:themeColor="text1"/>
                <w:szCs w:val="20"/>
              </w:rPr>
              <w:t>Минимальный расчетный размер площадки, м</w:t>
            </w:r>
            <w:r w:rsidRPr="00DB457D">
              <w:rPr>
                <w:b/>
                <w:color w:val="000000" w:themeColor="text1"/>
                <w:szCs w:val="20"/>
                <w:vertAlign w:val="superscript"/>
              </w:rPr>
              <w:t>2</w:t>
            </w:r>
            <w:r w:rsidRPr="00DB457D">
              <w:rPr>
                <w:b/>
                <w:color w:val="000000" w:themeColor="text1"/>
                <w:szCs w:val="20"/>
              </w:rPr>
              <w:t>/чел., проживающего на территории микрорайона (квартала)</w:t>
            </w:r>
          </w:p>
        </w:tc>
        <w:tc>
          <w:tcPr>
            <w:tcW w:w="1644" w:type="dxa"/>
            <w:vAlign w:val="center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Cs w:val="20"/>
              </w:rPr>
            </w:pPr>
            <w:r w:rsidRPr="00DB457D">
              <w:rPr>
                <w:b/>
                <w:color w:val="000000" w:themeColor="text1"/>
                <w:szCs w:val="20"/>
              </w:rPr>
              <w:t>Минимально допустимый размер одной площадки, м</w:t>
            </w:r>
            <w:r w:rsidRPr="00DB457D">
              <w:rPr>
                <w:b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2202" w:type="dxa"/>
            <w:vAlign w:val="center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Cs w:val="20"/>
              </w:rPr>
            </w:pPr>
            <w:r w:rsidRPr="00DB457D">
              <w:rPr>
                <w:b/>
                <w:color w:val="000000" w:themeColor="text1"/>
                <w:szCs w:val="20"/>
              </w:rPr>
              <w:t>Расстояние от границы площадки до окон жилых и общественных зданий, м</w:t>
            </w: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0,7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30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12</w:t>
            </w: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отдыха взрослого населения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15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занятий физкультурой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1,5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100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10 - 40</w:t>
            </w: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хозяйственных целей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0,3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10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20</w:t>
            </w: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выгула собак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25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40</w:t>
            </w:r>
          </w:p>
        </w:tc>
      </w:tr>
    </w:tbl>
    <w:p w:rsidR="000D14F9" w:rsidRDefault="000D14F9" w:rsidP="00507A72">
      <w:pPr>
        <w:jc w:val="both"/>
      </w:pPr>
    </w:p>
    <w:p w:rsidR="000D14F9" w:rsidRPr="00B05154" w:rsidRDefault="000D14F9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507A72" w:rsidTr="00D60CB5"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:rsidTr="00D60CB5">
        <w:tc>
          <w:tcPr>
            <w:tcW w:w="9356" w:type="dxa"/>
            <w:gridSpan w:val="3"/>
            <w:shd w:val="clear" w:color="auto" w:fill="auto"/>
          </w:tcPr>
          <w:p w:rsidR="00D60CB5" w:rsidRDefault="00D60CB5" w:rsidP="00175DD2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175DD2">
              <w:rPr>
                <w:b/>
              </w:rPr>
              <w:t>7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</w:t>
            </w:r>
            <w:r w:rsidRPr="000B6AED">
              <w:rPr>
                <w:b/>
              </w:rPr>
              <w:lastRenderedPageBreak/>
              <w:t xml:space="preserve">населения </w:t>
            </w:r>
            <w:r w:rsidR="00D56638" w:rsidRPr="00D56638">
              <w:rPr>
                <w:b/>
              </w:rPr>
              <w:t>Звезднинского городского</w:t>
            </w:r>
            <w:r w:rsidR="00C662B9" w:rsidRPr="00C662B9">
              <w:rPr>
                <w:b/>
              </w:rPr>
              <w:t xml:space="preserve"> поселения </w:t>
            </w:r>
            <w:r w:rsidR="002B6169" w:rsidRPr="002B6169">
              <w:rPr>
                <w:b/>
              </w:rPr>
              <w:t xml:space="preserve">Усть-Кутского муниципального района </w:t>
            </w:r>
            <w:r w:rsidR="00AE2413" w:rsidRPr="00AE2413">
              <w:rPr>
                <w:b/>
              </w:rPr>
              <w:t>Иркутской области</w:t>
            </w:r>
          </w:p>
        </w:tc>
      </w:tr>
      <w:tr w:rsidR="00507A72" w:rsidRPr="00FC0695" w:rsidTr="00D60CB5">
        <w:trPr>
          <w:trHeight w:val="80"/>
        </w:trPr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0D4A74">
        <w:rPr>
          <w:rFonts w:eastAsia="TimesNewRomanPSMT"/>
        </w:rPr>
        <w:t xml:space="preserve">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>Приказ подписан 13.04.2017 N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7</w:t>
      </w:r>
      <w:r>
        <w:rPr>
          <w:rFonts w:eastAsia="TimesNewRomanPSMT"/>
        </w:rPr>
        <w:t>.1.</w:t>
      </w:r>
    </w:p>
    <w:p w:rsidR="00D629D7" w:rsidRDefault="00D629D7" w:rsidP="007B720F">
      <w:pPr>
        <w:ind w:firstLine="851"/>
        <w:jc w:val="right"/>
      </w:pPr>
    </w:p>
    <w:p w:rsidR="007B720F" w:rsidRPr="009E5E94" w:rsidRDefault="007B720F" w:rsidP="007B720F">
      <w:pPr>
        <w:ind w:firstLine="851"/>
        <w:jc w:val="right"/>
      </w:pPr>
      <w:r>
        <w:t>Таблица 1.</w:t>
      </w:r>
      <w:r w:rsidR="00927AF9">
        <w:t>7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AE241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175DD2" w:rsidRDefault="00931D50" w:rsidP="008C40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1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507A72" w:rsidRPr="00563329" w:rsidRDefault="00425C0B" w:rsidP="00175DD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2" w:type="dxa"/>
            <w:vAlign w:val="center"/>
            <w:hideMark/>
          </w:tcPr>
          <w:p w:rsidR="00507A72" w:rsidRPr="0056332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332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63329">
              <w:rPr>
                <w:sz w:val="22"/>
                <w:szCs w:val="22"/>
                <w:lang w:eastAsia="en-US"/>
              </w:rPr>
              <w:t>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563329" w:rsidRDefault="00560CE1" w:rsidP="008C40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563329" w:rsidRDefault="00507A72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563329" w:rsidRDefault="00632587" w:rsidP="008C406C">
            <w:pPr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8C406C">
        <w:trPr>
          <w:trHeight w:val="20"/>
        </w:trPr>
        <w:tc>
          <w:tcPr>
            <w:tcW w:w="567" w:type="dxa"/>
            <w:vAlign w:val="center"/>
          </w:tcPr>
          <w:p w:rsidR="008C406C" w:rsidRPr="00175DD2" w:rsidRDefault="008C406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2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8C406C" w:rsidRPr="00563329" w:rsidRDefault="008C406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8C406C">
        <w:trPr>
          <w:trHeight w:val="20"/>
        </w:trPr>
        <w:tc>
          <w:tcPr>
            <w:tcW w:w="567" w:type="dxa"/>
            <w:vAlign w:val="center"/>
          </w:tcPr>
          <w:p w:rsidR="00BD4F5C" w:rsidRPr="00175DD2" w:rsidRDefault="00BD4F5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3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5DD2">
              <w:rPr>
                <w:sz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43084B">
      <w:pPr>
        <w:pStyle w:val="Default"/>
        <w:ind w:firstLine="851"/>
        <w:jc w:val="both"/>
      </w:pPr>
      <w:r w:rsidRPr="00931D50">
        <w:t xml:space="preserve">Примечания: </w:t>
      </w:r>
    </w:p>
    <w:p w:rsidR="00075029" w:rsidRDefault="0043084B" w:rsidP="000402E4">
      <w:pPr>
        <w:pStyle w:val="Default"/>
        <w:ind w:firstLine="851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AE4015" w:rsidRDefault="00AE4015" w:rsidP="00752B62">
      <w:pPr>
        <w:autoSpaceDE w:val="0"/>
        <w:spacing w:line="276" w:lineRule="auto"/>
        <w:jc w:val="both"/>
      </w:pPr>
    </w:p>
    <w:p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51"/>
        <w:gridCol w:w="8400"/>
        <w:gridCol w:w="283"/>
      </w:tblGrid>
      <w:tr w:rsidR="00560CE1" w:rsidTr="00494BA5">
        <w:tc>
          <w:tcPr>
            <w:tcW w:w="516" w:type="dxa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:rsidTr="006B6FFD"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6B6FFD" w:rsidRDefault="006B6FFD" w:rsidP="00927AF9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927AF9">
              <w:rPr>
                <w:b/>
              </w:rPr>
              <w:t>8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BA261A" w:rsidRPr="00BA261A">
              <w:rPr>
                <w:b/>
              </w:rPr>
              <w:t>Звезднинского городского</w:t>
            </w:r>
            <w:r w:rsidR="00C662B9" w:rsidRPr="00C662B9">
              <w:rPr>
                <w:b/>
              </w:rPr>
              <w:t xml:space="preserve"> поселения</w:t>
            </w:r>
            <w:r w:rsidR="002B6169" w:rsidRPr="002B6169">
              <w:rPr>
                <w:b/>
              </w:rPr>
              <w:t xml:space="preserve"> Усть-Кутского муниципального района</w:t>
            </w:r>
            <w:r w:rsidR="00AE2413" w:rsidRPr="00AE2413">
              <w:rPr>
                <w:b/>
              </w:rPr>
              <w:t xml:space="preserve"> Иркутской области</w:t>
            </w:r>
          </w:p>
        </w:tc>
      </w:tr>
      <w:tr w:rsidR="000C0F44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274FCD">
        <w:rPr>
          <w:rFonts w:eastAsia="TimesNewRomanPSMT"/>
        </w:rPr>
        <w:t xml:space="preserve"> поселения </w:t>
      </w:r>
      <w:r>
        <w:rPr>
          <w:rFonts w:eastAsia="TimesNewRomanPSMT"/>
        </w:rPr>
        <w:t xml:space="preserve">в указанной сфере. Расчетные показатели минимально допустимого уровня обеспеченности </w:t>
      </w:r>
      <w:r>
        <w:rPr>
          <w:rFonts w:eastAsia="TimesNewRomanPSMT"/>
        </w:rPr>
        <w:lastRenderedPageBreak/>
        <w:t>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8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7B720F">
      <w:pPr>
        <w:jc w:val="right"/>
      </w:pPr>
    </w:p>
    <w:p w:rsidR="007B720F" w:rsidRPr="007B720F" w:rsidRDefault="007B720F" w:rsidP="007B720F">
      <w:pPr>
        <w:jc w:val="right"/>
      </w:pPr>
      <w:r w:rsidRPr="007B720F">
        <w:t>Таблица 1.</w:t>
      </w:r>
      <w:r w:rsidR="00927AF9">
        <w:t>8</w:t>
      </w:r>
      <w:r w:rsidRPr="007B720F">
        <w:t>.1. Расчетные показатели объектов, относящихся 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AE4015">
        <w:trPr>
          <w:trHeight w:val="818"/>
        </w:trPr>
        <w:tc>
          <w:tcPr>
            <w:tcW w:w="567" w:type="dxa"/>
            <w:hideMark/>
          </w:tcPr>
          <w:p w:rsidR="000C0F44" w:rsidRDefault="00AE4015" w:rsidP="0093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Площадь, га. на 1 000 </w:t>
            </w:r>
          </w:p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hideMark/>
          </w:tcPr>
          <w:p w:rsidR="0089618D" w:rsidRDefault="0089618D" w:rsidP="00896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  <w:p w:rsidR="000C0F44" w:rsidRDefault="000C0F44" w:rsidP="00AE40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hideMark/>
          </w:tcPr>
          <w:p w:rsidR="000C0F44" w:rsidRDefault="00AE4015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:rsidR="000C0F44" w:rsidRDefault="00AE4015" w:rsidP="00AE4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AE2413" w:rsidRDefault="000F2886" w:rsidP="00AE2413">
      <w:pPr>
        <w:autoSpaceDE w:val="0"/>
        <w:spacing w:line="276" w:lineRule="auto"/>
        <w:jc w:val="both"/>
        <w:rPr>
          <w:b/>
        </w:rPr>
      </w:pPr>
      <w:r>
        <w:rPr>
          <w:b/>
        </w:rPr>
        <w:t>1.</w:t>
      </w:r>
      <w:r w:rsidR="00927AF9">
        <w:rPr>
          <w:b/>
        </w:rPr>
        <w:t>9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в области </w:t>
      </w:r>
      <w:r w:rsidR="00927AF9" w:rsidRPr="00927AF9">
        <w:rPr>
          <w:b/>
        </w:rPr>
        <w:t>организации защиты населения и территории городского поселения от чрезвычайных ситуаций природного и техногенного характера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BA261A" w:rsidRPr="00BA261A">
        <w:rPr>
          <w:b/>
        </w:rPr>
        <w:t>Звезднинского городского</w:t>
      </w:r>
      <w:r w:rsidR="00C662B9" w:rsidRPr="00C662B9">
        <w:rPr>
          <w:b/>
        </w:rPr>
        <w:t xml:space="preserve"> поселения</w:t>
      </w:r>
      <w:r w:rsidR="002B6169" w:rsidRPr="002B6169">
        <w:rPr>
          <w:b/>
        </w:rPr>
        <w:t xml:space="preserve"> Усть-Кутского муниципального района</w:t>
      </w:r>
      <w:r w:rsidR="00AE2413" w:rsidRPr="00AE2413">
        <w:rPr>
          <w:b/>
        </w:rPr>
        <w:t xml:space="preserve"> Иркутской области </w:t>
      </w:r>
    </w:p>
    <w:p w:rsidR="00927AF9" w:rsidRPr="00927AF9" w:rsidRDefault="00927AF9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927AF9">
        <w:rPr>
          <w:rFonts w:eastAsia="TimesNewRomanPSMT"/>
          <w:szCs w:val="22"/>
        </w:rPr>
        <w:t>Расчетные показатели для объектов местного значения в области организации защиты населения и территории городского поселения от чрезвычайных ситуаций природного и техногенного характера установлены в соответствии с полномочиями городского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  <w:szCs w:val="22"/>
        </w:rPr>
        <w:t>9</w:t>
      </w:r>
      <w:r w:rsidRPr="00927AF9">
        <w:rPr>
          <w:rFonts w:eastAsia="TimesNewRomanPSMT"/>
          <w:szCs w:val="22"/>
        </w:rPr>
        <w:t>.1.</w:t>
      </w:r>
    </w:p>
    <w:p w:rsidR="00927AF9" w:rsidRPr="00927AF9" w:rsidRDefault="00927AF9" w:rsidP="00927AF9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927AF9">
        <w:rPr>
          <w:rFonts w:eastAsia="TimesNewRomanPSMT"/>
          <w:sz w:val="22"/>
          <w:szCs w:val="22"/>
        </w:rPr>
        <w:t>Таблица 1.</w:t>
      </w:r>
      <w:r>
        <w:rPr>
          <w:rFonts w:eastAsia="TimesNewRomanPSMT"/>
          <w:sz w:val="22"/>
          <w:szCs w:val="22"/>
        </w:rPr>
        <w:t>9</w:t>
      </w:r>
      <w:r w:rsidRPr="00927AF9">
        <w:rPr>
          <w:rFonts w:eastAsia="TimesNewRomanPSMT"/>
          <w:sz w:val="22"/>
          <w:szCs w:val="22"/>
        </w:rPr>
        <w:t>.1.</w:t>
      </w: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39"/>
        <w:gridCol w:w="2292"/>
        <w:gridCol w:w="4818"/>
      </w:tblGrid>
      <w:tr w:rsidR="00927AF9" w:rsidRPr="00927AF9" w:rsidTr="00E079FE">
        <w:trPr>
          <w:trHeight w:val="977"/>
          <w:tblHeader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вида объекта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 xml:space="preserve">Значение расчетного показателя </w:t>
            </w:r>
          </w:p>
        </w:tc>
      </w:tr>
      <w:tr w:rsidR="00927AF9" w:rsidRPr="00927AF9" w:rsidTr="00E079FE">
        <w:trPr>
          <w:trHeight w:val="1646"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sz w:val="22"/>
                <w:szCs w:val="22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Количество объектов на территорию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100% территории, требующей защиты</w:t>
            </w:r>
          </w:p>
        </w:tc>
      </w:tr>
    </w:tbl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03141C" w:rsidRDefault="0003141C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BA261A" w:rsidRPr="00BA261A">
        <w:t>Звезднинского городского</w:t>
      </w:r>
      <w:r w:rsidR="00C662B9" w:rsidRPr="00C662B9">
        <w:t xml:space="preserve"> поселения</w:t>
      </w:r>
      <w:r w:rsidR="002B6169" w:rsidRPr="002B6169">
        <w:t xml:space="preserve"> Усть-Кутского муниципального района </w:t>
      </w:r>
      <w:r w:rsidRPr="003650BD">
        <w:t>Иркутской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="00BA261A">
        <w:rPr>
          <w:spacing w:val="-6"/>
          <w:sz w:val="22"/>
          <w:lang w:eastAsia="en-US"/>
        </w:rPr>
        <w:t>Звезднинского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C662B9" w:rsidRPr="00C662B9">
        <w:t xml:space="preserve"> поселения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BA261A">
        <w:rPr>
          <w:spacing w:val="-6"/>
          <w:sz w:val="22"/>
          <w:lang w:eastAsia="en-US"/>
        </w:rPr>
        <w:t>Звезднинского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D26094" w:rsidRPr="00D26094">
        <w:rPr>
          <w:bCs/>
          <w:szCs w:val="28"/>
        </w:rPr>
        <w:t xml:space="preserve"> поселения Усть-Кутского муниципального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B93D2C" w:rsidRPr="009E1D56" w:rsidTr="00FB28F4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301530" w:rsidRDefault="00B93D2C" w:rsidP="007A3F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Pr="009676DA">
              <w:rPr>
                <w:color w:val="000000" w:themeColor="text1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Минрегиона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  <w:r>
              <w:rPr>
                <w:color w:val="000000" w:themeColor="text1"/>
              </w:rPr>
              <w:t xml:space="preserve">, </w:t>
            </w:r>
            <w:r w:rsidR="0003141C" w:rsidRPr="0003141C">
              <w:rPr>
                <w:color w:val="000000" w:themeColor="text1"/>
              </w:rPr>
              <w:t>учетом муниципальной программы «Комплексного развития систем коммунальной инфраструктуры Звезднинского муниципального образования (городского поселения) на 2018-2023 года», утвержденной решением Думы Звезднинского городского поселения от 29 ноября 2018 года №28</w:t>
            </w:r>
            <w:r w:rsidR="0003141C">
              <w:rPr>
                <w:color w:val="000000" w:themeColor="text1"/>
              </w:rPr>
              <w:t>.</w:t>
            </w:r>
          </w:p>
        </w:tc>
      </w:tr>
      <w:tr w:rsidR="00CB0231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</w:t>
            </w:r>
            <w:proofErr w:type="spellStart"/>
            <w:r w:rsidRPr="002F03F4">
              <w:rPr>
                <w:sz w:val="22"/>
                <w:szCs w:val="22"/>
              </w:rPr>
              <w:t>Минрегион</w:t>
            </w:r>
            <w:proofErr w:type="spellEnd"/>
            <w:r w:rsidRPr="002F03F4">
              <w:rPr>
                <w:sz w:val="22"/>
                <w:szCs w:val="22"/>
              </w:rPr>
              <w:t xml:space="preserve"> России от 29.12.2011 N 635/14). П.5.1.</w:t>
            </w:r>
          </w:p>
        </w:tc>
      </w:tr>
      <w:tr w:rsidR="00CB0231" w:rsidRPr="009E1D56" w:rsidTr="00FA44B8">
        <w:trPr>
          <w:trHeight w:val="465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FA44B8" w:rsidRPr="009E1D56" w:rsidTr="00FA5784">
        <w:trPr>
          <w:trHeight w:val="270"/>
        </w:trPr>
        <w:tc>
          <w:tcPr>
            <w:tcW w:w="567" w:type="dxa"/>
            <w:shd w:val="clear" w:color="auto" w:fill="auto"/>
          </w:tcPr>
          <w:p w:rsidR="00FA44B8" w:rsidRPr="00D02D0F" w:rsidRDefault="00FA44B8" w:rsidP="00FA44B8">
            <w:r w:rsidRPr="00D02D0F">
              <w:t>1.4</w:t>
            </w:r>
          </w:p>
        </w:tc>
        <w:tc>
          <w:tcPr>
            <w:tcW w:w="1809" w:type="dxa"/>
            <w:shd w:val="clear" w:color="auto" w:fill="auto"/>
          </w:tcPr>
          <w:p w:rsidR="00FA44B8" w:rsidRPr="00D02D0F" w:rsidRDefault="00FA44B8" w:rsidP="00FA44B8">
            <w:r w:rsidRPr="00D02D0F">
              <w:t>Объекты теплоснабжения</w:t>
            </w:r>
          </w:p>
        </w:tc>
        <w:tc>
          <w:tcPr>
            <w:tcW w:w="1843" w:type="dxa"/>
            <w:shd w:val="clear" w:color="auto" w:fill="auto"/>
          </w:tcPr>
          <w:p w:rsidR="00FA44B8" w:rsidRPr="00D02D0F" w:rsidRDefault="00FA44B8" w:rsidP="00FA44B8">
            <w:r w:rsidRPr="00D02D0F"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FA44B8" w:rsidRDefault="00FA44B8" w:rsidP="00FA44B8">
            <w:r w:rsidRPr="00D02D0F"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>с п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городских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>тный Институт По Градострои</w:t>
            </w:r>
            <w:r>
              <w:rPr>
                <w:sz w:val="22"/>
                <w:szCs w:val="22"/>
              </w:rPr>
              <w:lastRenderedPageBreak/>
              <w:t>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color w:val="000000" w:themeColor="text1"/>
              </w:rPr>
              <w:t>п. 11.41.</w:t>
            </w:r>
            <w:r>
              <w:rPr>
                <w:sz w:val="22"/>
                <w:szCs w:val="22"/>
              </w:rPr>
              <w:t xml:space="preserve"> </w:t>
            </w:r>
            <w:r w:rsidRPr="009676DA">
              <w:rPr>
                <w:color w:val="000000" w:themeColor="text1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Минрегиона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</w:rPr>
              <w:t>с п. 11.40.</w:t>
            </w:r>
            <w:r>
              <w:rPr>
                <w:sz w:val="22"/>
                <w:szCs w:val="22"/>
              </w:rPr>
              <w:t xml:space="preserve">   </w:t>
            </w:r>
            <w:r w:rsidRPr="009676DA">
              <w:rPr>
                <w:color w:val="000000" w:themeColor="text1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Минрегиона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F52787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3141C" w:rsidRPr="0003141C" w:rsidRDefault="0003141C" w:rsidP="00031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  <w:p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03141C" w:rsidP="00FB28F4">
            <w:pPr>
              <w:contextualSpacing/>
            </w:pPr>
            <w:r w:rsidRPr="0003141C"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3141C">
              <w:rPr>
                <w:color w:val="000000"/>
                <w:sz w:val="22"/>
                <w:szCs w:val="22"/>
              </w:rPr>
              <w:t>, Таблица 1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03141C">
            <w:pPr>
              <w:contextualSpacing/>
            </w:pPr>
            <w:r w:rsidRPr="009E1D5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Транспортная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доступность  </w:t>
            </w:r>
            <w:r w:rsidRPr="009E1D56">
              <w:rPr>
                <w:color w:val="000000"/>
                <w:sz w:val="22"/>
                <w:szCs w:val="22"/>
              </w:rPr>
              <w:t>принята</w:t>
            </w:r>
            <w:proofErr w:type="gramEnd"/>
            <w:r w:rsidRPr="009E1D56">
              <w:rPr>
                <w:color w:val="000000"/>
                <w:sz w:val="22"/>
                <w:szCs w:val="22"/>
              </w:rPr>
              <w:t xml:space="preserve">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  <w:r w:rsidR="000314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03141C" w:rsidP="00FB28F4">
            <w:pPr>
              <w:contextualSpacing/>
              <w:jc w:val="both"/>
              <w:rPr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03141C" w:rsidP="00FB28F4">
            <w:pPr>
              <w:contextualSpacing/>
              <w:rPr>
                <w:color w:val="000000"/>
              </w:rPr>
            </w:pPr>
            <w:r w:rsidRPr="0003141C">
              <w:rPr>
                <w:color w:val="000000"/>
                <w:sz w:val="22"/>
                <w:szCs w:val="22"/>
              </w:rPr>
              <w:t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</w:t>
            </w:r>
            <w:r w:rsidRPr="0003141C">
              <w:rPr>
                <w:color w:val="000000"/>
                <w:sz w:val="22"/>
                <w:szCs w:val="22"/>
              </w:rPr>
              <w:lastRenderedPageBreak/>
              <w:t xml:space="preserve">ных распоряжением Министерства культуры Российской Федерации от 02.08.2017 г. № Р-965,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03141C">
              <w:rPr>
                <w:color w:val="000000"/>
                <w:sz w:val="22"/>
                <w:szCs w:val="22"/>
              </w:rPr>
              <w:t xml:space="preserve">, Таблица 6 и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XI</w:t>
            </w:r>
            <w:r w:rsidRPr="0003141C">
              <w:rPr>
                <w:color w:val="000000"/>
                <w:sz w:val="22"/>
                <w:szCs w:val="22"/>
              </w:rPr>
              <w:t>, Таблица 9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AC2D8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="00B93D2C" w:rsidRPr="002E7E73">
              <w:rPr>
                <w:color w:val="000000"/>
                <w:sz w:val="22"/>
                <w:szCs w:val="22"/>
              </w:rPr>
              <w:t>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AC2D8B" w:rsidP="00FB28F4">
            <w:pPr>
              <w:contextualSpacing/>
              <w:jc w:val="both"/>
            </w:pPr>
            <w:r w:rsidRPr="00AC2D8B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FB28F4">
            <w:pPr>
              <w:contextualSpacing/>
            </w:pPr>
            <w:r w:rsidRPr="00AC2D8B"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AC2D8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C2D8B">
              <w:rPr>
                <w:color w:val="000000"/>
                <w:sz w:val="22"/>
                <w:szCs w:val="22"/>
              </w:rPr>
              <w:t>, Таблица 2.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AC2D8B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="00B93D2C" w:rsidRPr="009E1D56">
              <w:rPr>
                <w:color w:val="000000"/>
                <w:sz w:val="22"/>
                <w:szCs w:val="22"/>
              </w:rPr>
              <w:t xml:space="preserve">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="00B93D2C"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FB28F4">
        <w:trPr>
          <w:trHeight w:val="1518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6B5F20" w:rsidP="00FB28F4">
            <w:pPr>
              <w:contextualSpacing/>
              <w:jc w:val="both"/>
              <w:rPr>
                <w:color w:val="000000"/>
              </w:rPr>
            </w:pPr>
            <w:r w:rsidRPr="006B5F20">
              <w:rPr>
                <w:color w:val="000000"/>
                <w:sz w:val="22"/>
                <w:szCs w:val="22"/>
              </w:rPr>
              <w:t>Помещения для физкультурно-спортивных занятий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удельная площадь пола спортивных залов на 1000 жит.,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12E1A">
              <w:rPr>
                <w:sz w:val="22"/>
                <w:szCs w:val="22"/>
              </w:rPr>
              <w:t>Минрегиона</w:t>
            </w:r>
            <w:proofErr w:type="spellEnd"/>
            <w:r w:rsidRPr="00512E1A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 xml:space="preserve">удельная площадь пола помещений на 1000 жит., </w:t>
            </w:r>
            <w:proofErr w:type="spellStart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284056" w:rsidRDefault="00B93D2C" w:rsidP="00FB28F4">
            <w:pPr>
              <w:contextualSpacing/>
              <w:rPr>
                <w:color w:val="FF0000"/>
                <w:highlight w:val="yellow"/>
              </w:rPr>
            </w:pPr>
            <w:r w:rsidRPr="00DD65C2">
              <w:rPr>
                <w:sz w:val="22"/>
                <w:szCs w:val="28"/>
              </w:rPr>
              <w:t xml:space="preserve">1 объект на каждые 1000 человек населения </w:t>
            </w:r>
            <w:proofErr w:type="spellStart"/>
            <w:r w:rsidRPr="00DD65C2">
              <w:rPr>
                <w:sz w:val="22"/>
                <w:szCs w:val="28"/>
              </w:rPr>
              <w:t>н.п</w:t>
            </w:r>
            <w:proofErr w:type="spellEnd"/>
            <w:r w:rsidRPr="00DD65C2">
              <w:rPr>
                <w:sz w:val="22"/>
                <w:szCs w:val="28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6B5F20" w:rsidRPr="009E1D56" w:rsidTr="00B66DEF">
        <w:trPr>
          <w:trHeight w:val="186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B5F20" w:rsidRPr="006B5F20" w:rsidRDefault="006B5F20" w:rsidP="006B5F20">
            <w:pPr>
              <w:contextualSpacing/>
              <w:rPr>
                <w:b/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8"/>
              </w:rPr>
              <w:t>образования</w:t>
            </w:r>
          </w:p>
        </w:tc>
      </w:tr>
      <w:tr w:rsidR="006B5F20" w:rsidRPr="009E1D56" w:rsidTr="006F59AE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6B5F20" w:rsidP="006B5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B5F20" w:rsidRPr="005F7962" w:rsidRDefault="006B5F20" w:rsidP="006B5F20">
            <w:pPr>
              <w:tabs>
                <w:tab w:val="left" w:pos="6780"/>
              </w:tabs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6B5F20" w:rsidRPr="005F7962" w:rsidRDefault="006B5F20" w:rsidP="006B5F20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уровень обеспеченности, мест на 100 детей</w:t>
            </w:r>
          </w:p>
          <w:p w:rsidR="006B5F20" w:rsidRPr="005F7962" w:rsidRDefault="006B5F20" w:rsidP="006B5F20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в возрасте</w:t>
            </w:r>
          </w:p>
          <w:p w:rsidR="006B5F20" w:rsidRPr="005F7962" w:rsidRDefault="006B5F20" w:rsidP="006B5F20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от 2 до 7 лет</w:t>
            </w:r>
          </w:p>
        </w:tc>
        <w:tc>
          <w:tcPr>
            <w:tcW w:w="5137" w:type="dxa"/>
            <w:shd w:val="clear" w:color="auto" w:fill="auto"/>
          </w:tcPr>
          <w:p w:rsidR="006B5F20" w:rsidRPr="005F7962" w:rsidRDefault="006B5F20" w:rsidP="006B5F20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</w:t>
            </w:r>
            <w:r w:rsidRPr="005F7962">
              <w:rPr>
                <w:szCs w:val="22"/>
              </w:rPr>
              <w:lastRenderedPageBreak/>
              <w:t xml:space="preserve">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5F7962">
              <w:rPr>
                <w:szCs w:val="22"/>
              </w:rPr>
              <w:t>Минобрнауки</w:t>
            </w:r>
            <w:proofErr w:type="spellEnd"/>
            <w:r w:rsidRPr="005F7962">
              <w:rPr>
                <w:szCs w:val="22"/>
              </w:rPr>
              <w:t xml:space="preserve"> России 04.05.2016 N АК-15/02вн.</w:t>
            </w:r>
          </w:p>
        </w:tc>
      </w:tr>
      <w:tr w:rsidR="00BC3930" w:rsidRPr="009E1D56" w:rsidTr="00CE09B9">
        <w:trPr>
          <w:trHeight w:val="1265"/>
        </w:trPr>
        <w:tc>
          <w:tcPr>
            <w:tcW w:w="567" w:type="dxa"/>
            <w:shd w:val="clear" w:color="auto" w:fill="auto"/>
          </w:tcPr>
          <w:p w:rsidR="00BC3930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930" w:rsidRPr="005F7962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930" w:rsidRPr="005F7962" w:rsidRDefault="00BC3930" w:rsidP="00BC3930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уровень обеспеченности, мест на 100 детей в возрасте от 7 до 18 лет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BC3930" w:rsidRPr="005F7962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5F7962">
              <w:rPr>
                <w:szCs w:val="22"/>
              </w:rPr>
              <w:t>Минобрнауки</w:t>
            </w:r>
            <w:proofErr w:type="spellEnd"/>
            <w:r w:rsidRPr="005F7962">
              <w:rPr>
                <w:szCs w:val="22"/>
              </w:rPr>
              <w:t xml:space="preserve"> России 04.05.2016 N АК-15/02вн.</w:t>
            </w:r>
          </w:p>
        </w:tc>
      </w:tr>
      <w:tr w:rsidR="009F299F" w:rsidRPr="009E1D56" w:rsidTr="004027C4">
        <w:trPr>
          <w:trHeight w:val="1265"/>
        </w:trPr>
        <w:tc>
          <w:tcPr>
            <w:tcW w:w="567" w:type="dxa"/>
            <w:shd w:val="clear" w:color="auto" w:fill="auto"/>
          </w:tcPr>
          <w:p w:rsidR="009F299F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9F299F" w:rsidRPr="005F7962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299F" w:rsidRPr="005F7962" w:rsidRDefault="009F299F" w:rsidP="009F299F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уровень обеспеченности,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9F299F" w:rsidRPr="005F7962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5F7962">
              <w:rPr>
                <w:szCs w:val="22"/>
              </w:rPr>
              <w:t>Минобрнауки</w:t>
            </w:r>
            <w:proofErr w:type="spellEnd"/>
            <w:r w:rsidRPr="005F7962">
              <w:rPr>
                <w:szCs w:val="22"/>
              </w:rPr>
              <w:t xml:space="preserve"> России 04.05.2016 N АК-15/02вн.</w:t>
            </w:r>
          </w:p>
        </w:tc>
      </w:tr>
      <w:tr w:rsidR="006B5F20" w:rsidRPr="009E1D56" w:rsidTr="0062516A">
        <w:trPr>
          <w:trHeight w:val="283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B5F20" w:rsidRPr="00DD65C2" w:rsidRDefault="006B5F20" w:rsidP="00FB28F4">
            <w:pPr>
              <w:contextualSpacing/>
              <w:rPr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>Объекты местного значения в области ж</w:t>
            </w:r>
            <w:r w:rsidRPr="006B5F20">
              <w:rPr>
                <w:b/>
                <w:bCs/>
                <w:sz w:val="22"/>
                <w:szCs w:val="28"/>
              </w:rPr>
              <w:t>илищного строительства</w:t>
            </w:r>
          </w:p>
        </w:tc>
      </w:tr>
      <w:tr w:rsidR="006B5F20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6B5F20" w:rsidRPr="0013623D" w:rsidRDefault="00CB4113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жилищной обес</w:t>
            </w:r>
            <w:r w:rsidRPr="00CB4113">
              <w:rPr>
                <w:color w:val="000000"/>
                <w:sz w:val="22"/>
                <w:szCs w:val="22"/>
              </w:rPr>
              <w:t>печенности</w:t>
            </w:r>
          </w:p>
        </w:tc>
        <w:tc>
          <w:tcPr>
            <w:tcW w:w="1843" w:type="dxa"/>
            <w:shd w:val="clear" w:color="auto" w:fill="auto"/>
          </w:tcPr>
          <w:p w:rsidR="006B5F20" w:rsidRPr="009E1D56" w:rsidRDefault="00CB4113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B4113">
              <w:rPr>
                <w:color w:val="000000"/>
                <w:sz w:val="22"/>
                <w:szCs w:val="22"/>
              </w:rPr>
              <w:t>Пок</w:t>
            </w:r>
            <w:r>
              <w:rPr>
                <w:color w:val="000000"/>
                <w:sz w:val="22"/>
                <w:szCs w:val="22"/>
              </w:rPr>
              <w:t>азатели средней жилищной обеспе</w:t>
            </w:r>
            <w:r w:rsidRPr="00CB4113">
              <w:rPr>
                <w:color w:val="000000"/>
                <w:sz w:val="22"/>
                <w:szCs w:val="22"/>
              </w:rPr>
              <w:t>ченности, кв. м об-щей площади жилых помещений на чело-века</w:t>
            </w:r>
          </w:p>
        </w:tc>
        <w:tc>
          <w:tcPr>
            <w:tcW w:w="5137" w:type="dxa"/>
            <w:shd w:val="clear" w:color="auto" w:fill="auto"/>
          </w:tcPr>
          <w:p w:rsidR="006B5F20" w:rsidRPr="00DD65C2" w:rsidRDefault="00CB4113" w:rsidP="00FB28F4">
            <w:pPr>
              <w:contextualSpacing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FB28F4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B93D2C"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CB4113">
            <w:pPr>
              <w:contextualSpacing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 xml:space="preserve">Общегородские парки 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 xml:space="preserve">площадь озеленения,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м2 на чел. принято в соответствии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N 1034/ </w:t>
            </w:r>
            <w:proofErr w:type="spellStart"/>
            <w:r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</w:t>
            </w:r>
            <w:r w:rsidRPr="009E1D56">
              <w:rPr>
                <w:color w:val="000000"/>
                <w:sz w:val="22"/>
                <w:szCs w:val="22"/>
              </w:rPr>
              <w:lastRenderedPageBreak/>
              <w:t>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lastRenderedPageBreak/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7</w:t>
            </w:r>
            <w:r w:rsidR="00B93D2C">
              <w:t>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0,5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>Пешеходная доступность принята 500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  <w:r w:rsidR="00B93D2C">
              <w:t>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B01204"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0,1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B01204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FB28F4">
        <w:trPr>
          <w:trHeight w:val="1781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  <w:r w:rsidR="00B93D2C" w:rsidRPr="009E1D56">
              <w:rPr>
                <w:sz w:val="22"/>
                <w:szCs w:val="22"/>
              </w:rPr>
              <w:t>.</w:t>
            </w:r>
            <w:r w:rsidR="00B93D2C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5437E">
              <w:rPr>
                <w:sz w:val="22"/>
                <w:szCs w:val="22"/>
              </w:rPr>
              <w:t>Минрегиона</w:t>
            </w:r>
            <w:proofErr w:type="spellEnd"/>
            <w:r w:rsidRPr="00A5437E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300"/>
        </w:trPr>
        <w:tc>
          <w:tcPr>
            <w:tcW w:w="567" w:type="dxa"/>
            <w:shd w:val="clear" w:color="auto" w:fill="auto"/>
          </w:tcPr>
          <w:p w:rsidR="00B93D2C" w:rsidRPr="00B967A3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B967A3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 xml:space="preserve">организации </w:t>
            </w:r>
            <w:r w:rsidR="00CB4113">
              <w:rPr>
                <w:b/>
                <w:color w:val="000000"/>
                <w:sz w:val="22"/>
                <w:szCs w:val="22"/>
              </w:rPr>
              <w:t xml:space="preserve">и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защиты населения и территории го</w:t>
            </w:r>
            <w:r w:rsidR="00CB4113">
              <w:rPr>
                <w:b/>
                <w:color w:val="000000"/>
                <w:sz w:val="22"/>
                <w:szCs w:val="22"/>
              </w:rPr>
              <w:t>родского поселения от чрезвычай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ных ситуаций природного и техногенного характера</w:t>
            </w:r>
          </w:p>
        </w:tc>
      </w:tr>
      <w:tr w:rsidR="00B93D2C" w:rsidRPr="009E1D56" w:rsidTr="00FB28F4">
        <w:trPr>
          <w:trHeight w:val="1275"/>
        </w:trPr>
        <w:tc>
          <w:tcPr>
            <w:tcW w:w="567" w:type="dxa"/>
            <w:shd w:val="clear" w:color="auto" w:fill="auto"/>
          </w:tcPr>
          <w:p w:rsidR="00B93D2C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  <w:r w:rsidR="00B93D2C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CB4113" w:rsidP="00FB28F4">
            <w:pPr>
              <w:contextualSpacing/>
              <w:jc w:val="both"/>
              <w:rPr>
                <w:color w:val="000000"/>
              </w:rPr>
            </w:pPr>
            <w:r w:rsidRPr="00CB4113">
              <w:rPr>
                <w:color w:val="000000"/>
                <w:sz w:val="22"/>
                <w:szCs w:val="22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CB4113">
            <w:pPr>
              <w:contextualSpacing/>
              <w:jc w:val="both"/>
            </w:pPr>
            <w:r w:rsidRPr="00667428">
              <w:rPr>
                <w:sz w:val="22"/>
                <w:szCs w:val="22"/>
              </w:rPr>
              <w:t xml:space="preserve">количество </w:t>
            </w:r>
            <w:r w:rsidR="00CB4113">
              <w:rPr>
                <w:sz w:val="22"/>
                <w:szCs w:val="22"/>
              </w:rPr>
              <w:t>объектов</w:t>
            </w:r>
          </w:p>
        </w:tc>
        <w:tc>
          <w:tcPr>
            <w:tcW w:w="5137" w:type="dxa"/>
            <w:shd w:val="clear" w:color="auto" w:fill="auto"/>
          </w:tcPr>
          <w:p w:rsidR="00B93D2C" w:rsidRPr="00321191" w:rsidRDefault="00CB4113" w:rsidP="00FB28F4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93D2C" w:rsidRDefault="00B93D2C" w:rsidP="00B93D2C">
      <w:pPr>
        <w:jc w:val="both"/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BA261A">
        <w:rPr>
          <w:spacing w:val="-6"/>
          <w:sz w:val="22"/>
          <w:lang w:eastAsia="en-US"/>
        </w:rPr>
        <w:t>Звезднинского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F152AD" w:rsidRPr="00F152AD">
        <w:rPr>
          <w:spacing w:val="-6"/>
          <w:lang w:eastAsia="en-US"/>
        </w:rPr>
        <w:t xml:space="preserve"> поселения</w:t>
      </w:r>
      <w:r w:rsidRPr="00370BB6">
        <w:t xml:space="preserve"> </w:t>
      </w:r>
      <w:r w:rsidRPr="00B17FE8">
        <w:t xml:space="preserve">объекты местного значения, относящиеся к областям, указанным в 23 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«О регулировании градостроительной деятельности в Иркутской области»</w:t>
      </w:r>
      <w:r w:rsidRPr="00B17FE8">
        <w:t xml:space="preserve"> и документах территориального планирования муниципальных образований </w:t>
      </w:r>
      <w:r w:rsidR="004E0C93">
        <w:t>Иркутской</w:t>
      </w:r>
      <w:r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FD3AAB">
        <w:rPr>
          <w:spacing w:val="-6"/>
          <w:lang w:eastAsia="en-US"/>
        </w:rPr>
        <w:t>Звезднинского</w:t>
      </w:r>
      <w:r w:rsidR="00F152AD" w:rsidRPr="00F152AD">
        <w:rPr>
          <w:spacing w:val="-6"/>
          <w:lang w:eastAsia="en-US"/>
        </w:rPr>
        <w:t xml:space="preserve"> </w:t>
      </w:r>
      <w:r w:rsidR="00FD3AAB">
        <w:rPr>
          <w:rFonts w:eastAsia="TimesNewRomanPSMT"/>
        </w:rPr>
        <w:t>городского</w:t>
      </w:r>
      <w:r w:rsidR="00F152AD" w:rsidRPr="00F152AD">
        <w:rPr>
          <w:spacing w:val="-6"/>
          <w:lang w:eastAsia="en-US"/>
        </w:rPr>
        <w:t xml:space="preserve"> поселения</w:t>
      </w:r>
      <w:r w:rsidRPr="003F19F9"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>
        <w:t>Иркутской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headerReference w:type="default" r:id="rId8"/>
      <w:footerReference w:type="default" r:id="rId9"/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E4" w:rsidRDefault="00302BE4" w:rsidP="000D5211">
      <w:r>
        <w:separator/>
      </w:r>
    </w:p>
  </w:endnote>
  <w:endnote w:type="continuationSeparator" w:id="0">
    <w:p w:rsidR="00302BE4" w:rsidRDefault="00302BE4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842640"/>
      <w:docPartObj>
        <w:docPartGallery w:val="Page Numbers (Bottom of Page)"/>
        <w:docPartUnique/>
      </w:docPartObj>
    </w:sdtPr>
    <w:sdtEndPr/>
    <w:sdtContent>
      <w:p w:rsidR="0061384A" w:rsidRDefault="006138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48">
          <w:rPr>
            <w:noProof/>
          </w:rPr>
          <w:t>22</w:t>
        </w:r>
        <w:r>
          <w:fldChar w:fldCharType="end"/>
        </w:r>
      </w:p>
    </w:sdtContent>
  </w:sdt>
  <w:p w:rsidR="0061384A" w:rsidRDefault="006138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E4" w:rsidRDefault="00302BE4" w:rsidP="000D5211">
      <w:r>
        <w:separator/>
      </w:r>
    </w:p>
  </w:footnote>
  <w:footnote w:type="continuationSeparator" w:id="0">
    <w:p w:rsidR="00302BE4" w:rsidRDefault="00302BE4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4A" w:rsidRPr="001D4DCC" w:rsidRDefault="0061384A" w:rsidP="000D5211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Звезднинского</w:t>
    </w:r>
  </w:p>
  <w:p w:rsidR="0061384A" w:rsidRPr="00CA19B4" w:rsidRDefault="0061384A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ГП</w:t>
    </w:r>
    <w:r w:rsidRPr="00CA19B4">
      <w:rPr>
        <w:i/>
        <w:color w:val="7F7F7F" w:themeColor="text1" w:themeTint="80"/>
        <w:sz w:val="18"/>
      </w:rPr>
      <w:t xml:space="preserve"> </w:t>
    </w:r>
    <w:r w:rsidRPr="00114594">
      <w:rPr>
        <w:i/>
        <w:color w:val="7F7F7F" w:themeColor="text1" w:themeTint="80"/>
        <w:sz w:val="18"/>
      </w:rPr>
      <w:t xml:space="preserve">Усть-Кутского </w:t>
    </w:r>
    <w:r>
      <w:rPr>
        <w:i/>
        <w:color w:val="7F7F7F" w:themeColor="text1" w:themeTint="80"/>
        <w:sz w:val="18"/>
      </w:rPr>
      <w:t xml:space="preserve">муниципального </w:t>
    </w:r>
    <w:r w:rsidRPr="00114594">
      <w:rPr>
        <w:i/>
        <w:color w:val="7F7F7F" w:themeColor="text1" w:themeTint="80"/>
        <w:sz w:val="18"/>
      </w:rPr>
      <w:t xml:space="preserve">района </w:t>
    </w:r>
    <w:r w:rsidRPr="00CA19B4">
      <w:rPr>
        <w:i/>
        <w:color w:val="7F7F7F" w:themeColor="text1" w:themeTint="80"/>
        <w:sz w:val="18"/>
      </w:rPr>
      <w:t>Иркутской области</w:t>
    </w:r>
  </w:p>
  <w:p w:rsidR="0061384A" w:rsidRPr="000D5211" w:rsidRDefault="0061384A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B6F"/>
    <w:multiLevelType w:val="hybridMultilevel"/>
    <w:tmpl w:val="CC9E8022"/>
    <w:lvl w:ilvl="0" w:tplc="ADC4AF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5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7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11"/>
    <w:rsid w:val="000059DF"/>
    <w:rsid w:val="00011780"/>
    <w:rsid w:val="000142BF"/>
    <w:rsid w:val="0003141C"/>
    <w:rsid w:val="000349CE"/>
    <w:rsid w:val="000402E4"/>
    <w:rsid w:val="00042F7E"/>
    <w:rsid w:val="000530F0"/>
    <w:rsid w:val="000665E7"/>
    <w:rsid w:val="000731CD"/>
    <w:rsid w:val="00075029"/>
    <w:rsid w:val="0008357D"/>
    <w:rsid w:val="000954CA"/>
    <w:rsid w:val="000A373B"/>
    <w:rsid w:val="000B2D05"/>
    <w:rsid w:val="000B5BB4"/>
    <w:rsid w:val="000C0F44"/>
    <w:rsid w:val="000C12DC"/>
    <w:rsid w:val="000C29A6"/>
    <w:rsid w:val="000D14F9"/>
    <w:rsid w:val="000D4A74"/>
    <w:rsid w:val="000D5211"/>
    <w:rsid w:val="000D7909"/>
    <w:rsid w:val="000E54F8"/>
    <w:rsid w:val="000F2886"/>
    <w:rsid w:val="001132CA"/>
    <w:rsid w:val="00114594"/>
    <w:rsid w:val="0012181B"/>
    <w:rsid w:val="00123DDF"/>
    <w:rsid w:val="00137162"/>
    <w:rsid w:val="001575C0"/>
    <w:rsid w:val="00160BEB"/>
    <w:rsid w:val="00164635"/>
    <w:rsid w:val="001701B4"/>
    <w:rsid w:val="00173FEE"/>
    <w:rsid w:val="00174074"/>
    <w:rsid w:val="00175065"/>
    <w:rsid w:val="00175DD2"/>
    <w:rsid w:val="00176524"/>
    <w:rsid w:val="00177765"/>
    <w:rsid w:val="0019044F"/>
    <w:rsid w:val="0019308A"/>
    <w:rsid w:val="0019692A"/>
    <w:rsid w:val="001A189E"/>
    <w:rsid w:val="001B2607"/>
    <w:rsid w:val="001B2E6C"/>
    <w:rsid w:val="001C23D5"/>
    <w:rsid w:val="001C4415"/>
    <w:rsid w:val="001C6302"/>
    <w:rsid w:val="001D21E5"/>
    <w:rsid w:val="001D4DCC"/>
    <w:rsid w:val="001E58CD"/>
    <w:rsid w:val="001F1B32"/>
    <w:rsid w:val="00200B3C"/>
    <w:rsid w:val="0020411E"/>
    <w:rsid w:val="00232826"/>
    <w:rsid w:val="00232A0E"/>
    <w:rsid w:val="00240389"/>
    <w:rsid w:val="0025350C"/>
    <w:rsid w:val="00254227"/>
    <w:rsid w:val="002542B5"/>
    <w:rsid w:val="00257715"/>
    <w:rsid w:val="00257D18"/>
    <w:rsid w:val="002624E8"/>
    <w:rsid w:val="00265B2A"/>
    <w:rsid w:val="00274FCD"/>
    <w:rsid w:val="0028255A"/>
    <w:rsid w:val="00284056"/>
    <w:rsid w:val="00292D7E"/>
    <w:rsid w:val="002A15AD"/>
    <w:rsid w:val="002B50FC"/>
    <w:rsid w:val="002B6169"/>
    <w:rsid w:val="002C5B96"/>
    <w:rsid w:val="002C7D55"/>
    <w:rsid w:val="002D2AFA"/>
    <w:rsid w:val="002D78E8"/>
    <w:rsid w:val="002E11D8"/>
    <w:rsid w:val="002E7E73"/>
    <w:rsid w:val="002F2513"/>
    <w:rsid w:val="003016A3"/>
    <w:rsid w:val="00302BE4"/>
    <w:rsid w:val="00314DD8"/>
    <w:rsid w:val="00317E98"/>
    <w:rsid w:val="00321191"/>
    <w:rsid w:val="003243E9"/>
    <w:rsid w:val="00352C59"/>
    <w:rsid w:val="0035501F"/>
    <w:rsid w:val="00361D5F"/>
    <w:rsid w:val="00370BB6"/>
    <w:rsid w:val="0037495A"/>
    <w:rsid w:val="00380727"/>
    <w:rsid w:val="003853D0"/>
    <w:rsid w:val="003A25F4"/>
    <w:rsid w:val="003A7B85"/>
    <w:rsid w:val="003A7F07"/>
    <w:rsid w:val="003C04F3"/>
    <w:rsid w:val="003C619F"/>
    <w:rsid w:val="003D69CB"/>
    <w:rsid w:val="003E547E"/>
    <w:rsid w:val="003E71DF"/>
    <w:rsid w:val="003F19F9"/>
    <w:rsid w:val="00425AA0"/>
    <w:rsid w:val="00425C0B"/>
    <w:rsid w:val="0043084B"/>
    <w:rsid w:val="0043447C"/>
    <w:rsid w:val="00442F05"/>
    <w:rsid w:val="00443D5E"/>
    <w:rsid w:val="00453C68"/>
    <w:rsid w:val="00463B18"/>
    <w:rsid w:val="00466053"/>
    <w:rsid w:val="00483A9C"/>
    <w:rsid w:val="00494BA5"/>
    <w:rsid w:val="004A0B0F"/>
    <w:rsid w:val="004A47AC"/>
    <w:rsid w:val="004A7510"/>
    <w:rsid w:val="004C38D5"/>
    <w:rsid w:val="004D75A0"/>
    <w:rsid w:val="004E0C93"/>
    <w:rsid w:val="004E5287"/>
    <w:rsid w:val="004F607F"/>
    <w:rsid w:val="00507A72"/>
    <w:rsid w:val="0051194E"/>
    <w:rsid w:val="0051345A"/>
    <w:rsid w:val="0052049D"/>
    <w:rsid w:val="005205FD"/>
    <w:rsid w:val="00534DB4"/>
    <w:rsid w:val="00544A9D"/>
    <w:rsid w:val="00544C97"/>
    <w:rsid w:val="00546043"/>
    <w:rsid w:val="00560CE1"/>
    <w:rsid w:val="00563329"/>
    <w:rsid w:val="00564533"/>
    <w:rsid w:val="00582BAF"/>
    <w:rsid w:val="0059556B"/>
    <w:rsid w:val="005A3E9F"/>
    <w:rsid w:val="005C0A68"/>
    <w:rsid w:val="005C52DD"/>
    <w:rsid w:val="005D0E53"/>
    <w:rsid w:val="005D6422"/>
    <w:rsid w:val="005E103F"/>
    <w:rsid w:val="005E4458"/>
    <w:rsid w:val="005E6DFB"/>
    <w:rsid w:val="005F0B12"/>
    <w:rsid w:val="00601F54"/>
    <w:rsid w:val="00607FC7"/>
    <w:rsid w:val="0061384A"/>
    <w:rsid w:val="00632587"/>
    <w:rsid w:val="00642D8A"/>
    <w:rsid w:val="0066055D"/>
    <w:rsid w:val="00663316"/>
    <w:rsid w:val="00667428"/>
    <w:rsid w:val="006726DE"/>
    <w:rsid w:val="00675559"/>
    <w:rsid w:val="006A4277"/>
    <w:rsid w:val="006A74CB"/>
    <w:rsid w:val="006B0A04"/>
    <w:rsid w:val="006B143E"/>
    <w:rsid w:val="006B3D48"/>
    <w:rsid w:val="006B5F20"/>
    <w:rsid w:val="006B6FFD"/>
    <w:rsid w:val="006B77B6"/>
    <w:rsid w:val="006C176C"/>
    <w:rsid w:val="006E4B2E"/>
    <w:rsid w:val="006F0358"/>
    <w:rsid w:val="006F3782"/>
    <w:rsid w:val="007227E5"/>
    <w:rsid w:val="00733881"/>
    <w:rsid w:val="007409C4"/>
    <w:rsid w:val="00752B62"/>
    <w:rsid w:val="00753E7A"/>
    <w:rsid w:val="0076109F"/>
    <w:rsid w:val="00763BA6"/>
    <w:rsid w:val="0076521D"/>
    <w:rsid w:val="00766C68"/>
    <w:rsid w:val="00777468"/>
    <w:rsid w:val="007805DE"/>
    <w:rsid w:val="00783079"/>
    <w:rsid w:val="00783CAD"/>
    <w:rsid w:val="00783E14"/>
    <w:rsid w:val="00795A1C"/>
    <w:rsid w:val="007A042C"/>
    <w:rsid w:val="007A3F16"/>
    <w:rsid w:val="007B25E0"/>
    <w:rsid w:val="007B720F"/>
    <w:rsid w:val="007E2A81"/>
    <w:rsid w:val="007E3585"/>
    <w:rsid w:val="007E42DE"/>
    <w:rsid w:val="007F1339"/>
    <w:rsid w:val="007F5E6D"/>
    <w:rsid w:val="00822FFA"/>
    <w:rsid w:val="00833015"/>
    <w:rsid w:val="0085427B"/>
    <w:rsid w:val="008545E2"/>
    <w:rsid w:val="0087716A"/>
    <w:rsid w:val="00877765"/>
    <w:rsid w:val="0089291A"/>
    <w:rsid w:val="00892DC7"/>
    <w:rsid w:val="0089618D"/>
    <w:rsid w:val="008A3A55"/>
    <w:rsid w:val="008A4EAF"/>
    <w:rsid w:val="008B33C3"/>
    <w:rsid w:val="008B7DAE"/>
    <w:rsid w:val="008C2E1A"/>
    <w:rsid w:val="008C406C"/>
    <w:rsid w:val="008C6F55"/>
    <w:rsid w:val="008E0BEF"/>
    <w:rsid w:val="008F77A5"/>
    <w:rsid w:val="008F7FF6"/>
    <w:rsid w:val="009037F6"/>
    <w:rsid w:val="009253E0"/>
    <w:rsid w:val="00927AF9"/>
    <w:rsid w:val="00930487"/>
    <w:rsid w:val="00931D50"/>
    <w:rsid w:val="00944346"/>
    <w:rsid w:val="00952751"/>
    <w:rsid w:val="00953086"/>
    <w:rsid w:val="0096000C"/>
    <w:rsid w:val="00963965"/>
    <w:rsid w:val="009676DA"/>
    <w:rsid w:val="00970498"/>
    <w:rsid w:val="00972B57"/>
    <w:rsid w:val="009929ED"/>
    <w:rsid w:val="009A1C74"/>
    <w:rsid w:val="009A2F41"/>
    <w:rsid w:val="009D31E9"/>
    <w:rsid w:val="009D6CC7"/>
    <w:rsid w:val="009D73F6"/>
    <w:rsid w:val="009E1D56"/>
    <w:rsid w:val="009F299F"/>
    <w:rsid w:val="009F3925"/>
    <w:rsid w:val="00A07817"/>
    <w:rsid w:val="00A10052"/>
    <w:rsid w:val="00A34572"/>
    <w:rsid w:val="00A351E3"/>
    <w:rsid w:val="00A75622"/>
    <w:rsid w:val="00A940D8"/>
    <w:rsid w:val="00A95422"/>
    <w:rsid w:val="00A95B74"/>
    <w:rsid w:val="00AB6507"/>
    <w:rsid w:val="00AB70FA"/>
    <w:rsid w:val="00AC2D8B"/>
    <w:rsid w:val="00AC4598"/>
    <w:rsid w:val="00AD018F"/>
    <w:rsid w:val="00AD42AB"/>
    <w:rsid w:val="00AD76D9"/>
    <w:rsid w:val="00AE2413"/>
    <w:rsid w:val="00AE4015"/>
    <w:rsid w:val="00AE41E3"/>
    <w:rsid w:val="00AF2DA5"/>
    <w:rsid w:val="00B0345F"/>
    <w:rsid w:val="00B17FE8"/>
    <w:rsid w:val="00B259B2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A261A"/>
    <w:rsid w:val="00BB7BE3"/>
    <w:rsid w:val="00BC05DA"/>
    <w:rsid w:val="00BC3930"/>
    <w:rsid w:val="00BC3CB8"/>
    <w:rsid w:val="00BD33DC"/>
    <w:rsid w:val="00BD3499"/>
    <w:rsid w:val="00BD4F5C"/>
    <w:rsid w:val="00BF3EBE"/>
    <w:rsid w:val="00C04E92"/>
    <w:rsid w:val="00C05D59"/>
    <w:rsid w:val="00C128B3"/>
    <w:rsid w:val="00C1491D"/>
    <w:rsid w:val="00C15DEB"/>
    <w:rsid w:val="00C230B3"/>
    <w:rsid w:val="00C329A0"/>
    <w:rsid w:val="00C40646"/>
    <w:rsid w:val="00C40D3E"/>
    <w:rsid w:val="00C432CF"/>
    <w:rsid w:val="00C44F51"/>
    <w:rsid w:val="00C662B9"/>
    <w:rsid w:val="00C73A6B"/>
    <w:rsid w:val="00C83588"/>
    <w:rsid w:val="00C840D0"/>
    <w:rsid w:val="00C91B29"/>
    <w:rsid w:val="00CA0939"/>
    <w:rsid w:val="00CA19B4"/>
    <w:rsid w:val="00CB0231"/>
    <w:rsid w:val="00CB3F43"/>
    <w:rsid w:val="00CB4113"/>
    <w:rsid w:val="00CD3551"/>
    <w:rsid w:val="00CD47B3"/>
    <w:rsid w:val="00CE2CC8"/>
    <w:rsid w:val="00CE4F10"/>
    <w:rsid w:val="00CF762A"/>
    <w:rsid w:val="00D06401"/>
    <w:rsid w:val="00D070A2"/>
    <w:rsid w:val="00D13154"/>
    <w:rsid w:val="00D26094"/>
    <w:rsid w:val="00D31B52"/>
    <w:rsid w:val="00D321A6"/>
    <w:rsid w:val="00D32F3D"/>
    <w:rsid w:val="00D33FDA"/>
    <w:rsid w:val="00D374AD"/>
    <w:rsid w:val="00D5217B"/>
    <w:rsid w:val="00D56638"/>
    <w:rsid w:val="00D570AD"/>
    <w:rsid w:val="00D60CB5"/>
    <w:rsid w:val="00D629D7"/>
    <w:rsid w:val="00D6315C"/>
    <w:rsid w:val="00D63E76"/>
    <w:rsid w:val="00D643B8"/>
    <w:rsid w:val="00D66D00"/>
    <w:rsid w:val="00D935DF"/>
    <w:rsid w:val="00D96E43"/>
    <w:rsid w:val="00D97A4D"/>
    <w:rsid w:val="00DA6D69"/>
    <w:rsid w:val="00DB1D9C"/>
    <w:rsid w:val="00DB457D"/>
    <w:rsid w:val="00DB5BE3"/>
    <w:rsid w:val="00DC3FBF"/>
    <w:rsid w:val="00DC78AE"/>
    <w:rsid w:val="00DD65C2"/>
    <w:rsid w:val="00DD6AE3"/>
    <w:rsid w:val="00DE058E"/>
    <w:rsid w:val="00DE0B7D"/>
    <w:rsid w:val="00DE175E"/>
    <w:rsid w:val="00DE4BDB"/>
    <w:rsid w:val="00DE7D54"/>
    <w:rsid w:val="00DF28CF"/>
    <w:rsid w:val="00DF3C83"/>
    <w:rsid w:val="00E03A79"/>
    <w:rsid w:val="00E03E27"/>
    <w:rsid w:val="00E07A57"/>
    <w:rsid w:val="00E11BBE"/>
    <w:rsid w:val="00E200C6"/>
    <w:rsid w:val="00E31FF2"/>
    <w:rsid w:val="00E33B92"/>
    <w:rsid w:val="00E4462F"/>
    <w:rsid w:val="00E46EEF"/>
    <w:rsid w:val="00E532E1"/>
    <w:rsid w:val="00E54B90"/>
    <w:rsid w:val="00E554C2"/>
    <w:rsid w:val="00E62587"/>
    <w:rsid w:val="00E6336E"/>
    <w:rsid w:val="00E64187"/>
    <w:rsid w:val="00E701EB"/>
    <w:rsid w:val="00E82129"/>
    <w:rsid w:val="00E937F5"/>
    <w:rsid w:val="00EA7B48"/>
    <w:rsid w:val="00EB4882"/>
    <w:rsid w:val="00EB5097"/>
    <w:rsid w:val="00ED0AB3"/>
    <w:rsid w:val="00EE7FD9"/>
    <w:rsid w:val="00EF6EEC"/>
    <w:rsid w:val="00F128EB"/>
    <w:rsid w:val="00F152AD"/>
    <w:rsid w:val="00F324AE"/>
    <w:rsid w:val="00F33329"/>
    <w:rsid w:val="00F34544"/>
    <w:rsid w:val="00F40314"/>
    <w:rsid w:val="00F432C6"/>
    <w:rsid w:val="00F50540"/>
    <w:rsid w:val="00F52787"/>
    <w:rsid w:val="00F528BA"/>
    <w:rsid w:val="00F52D67"/>
    <w:rsid w:val="00F55E73"/>
    <w:rsid w:val="00F562A8"/>
    <w:rsid w:val="00F612F3"/>
    <w:rsid w:val="00F67CD7"/>
    <w:rsid w:val="00F71197"/>
    <w:rsid w:val="00F92123"/>
    <w:rsid w:val="00F96A74"/>
    <w:rsid w:val="00FA44B8"/>
    <w:rsid w:val="00FA4CA9"/>
    <w:rsid w:val="00FA5784"/>
    <w:rsid w:val="00FA5E40"/>
    <w:rsid w:val="00FA698C"/>
    <w:rsid w:val="00FB2036"/>
    <w:rsid w:val="00FB28F4"/>
    <w:rsid w:val="00FB3B73"/>
    <w:rsid w:val="00FC3E96"/>
    <w:rsid w:val="00FC601D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F252"/>
  <w15:docId w15:val="{E9916D7B-4C9D-4332-9772-52E996E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A39E-1561-489B-BDFA-66E9530E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23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Татьяна Андреевна</cp:lastModifiedBy>
  <cp:revision>23</cp:revision>
  <cp:lastPrinted>2019-05-20T04:23:00Z</cp:lastPrinted>
  <dcterms:created xsi:type="dcterms:W3CDTF">2020-05-06T20:23:00Z</dcterms:created>
  <dcterms:modified xsi:type="dcterms:W3CDTF">2020-12-28T08:25:00Z</dcterms:modified>
</cp:coreProperties>
</file>